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F1" w:rsidRDefault="008120F1" w:rsidP="008120F1">
      <w:pPr>
        <w:jc w:val="center"/>
        <w:rPr>
          <w:b/>
          <w:i/>
          <w:caps/>
          <w:imprint/>
          <w:color w:val="000000"/>
          <w:sz w:val="48"/>
          <w:szCs w:val="48"/>
          <w:u w:val="single"/>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5165B2" w:rsidRDefault="005165B2" w:rsidP="008120F1">
      <w:pPr>
        <w:jc w:val="center"/>
        <w:rPr>
          <w:caps/>
          <w:imprint/>
          <w:color w:val="000000"/>
          <w:sz w:val="16"/>
          <w:szCs w:val="16"/>
        </w:rPr>
      </w:pPr>
    </w:p>
    <w:p w:rsidR="00B75FA6" w:rsidRPr="005165B2" w:rsidRDefault="00B75FA6" w:rsidP="008120F1">
      <w:pPr>
        <w:jc w:val="center"/>
        <w:rPr>
          <w:caps/>
          <w:imprint/>
          <w:color w:val="000000"/>
          <w:sz w:val="16"/>
          <w:szCs w:val="16"/>
        </w:rPr>
      </w:pPr>
    </w:p>
    <w:p w:rsidR="008120F1" w:rsidRDefault="00FB442D" w:rsidP="008120F1">
      <w:pPr>
        <w:jc w:val="center"/>
        <w:rPr>
          <w:caps/>
          <w:imprint/>
          <w:color w:val="000000"/>
          <w:sz w:val="20"/>
          <w:szCs w:val="20"/>
        </w:rPr>
      </w:pPr>
      <w:r>
        <w:rPr>
          <w:caps/>
          <w:imprint/>
          <w:color w:val="000000"/>
          <w:sz w:val="28"/>
          <w:szCs w:val="28"/>
        </w:rPr>
        <w:t xml:space="preserve">№ </w:t>
      </w:r>
      <w:r w:rsidR="005D43FF">
        <w:rPr>
          <w:caps/>
          <w:imprint/>
          <w:color w:val="000000"/>
          <w:sz w:val="28"/>
          <w:szCs w:val="28"/>
        </w:rPr>
        <w:t xml:space="preserve"> </w:t>
      </w:r>
      <w:r w:rsidR="0060661F">
        <w:rPr>
          <w:caps/>
          <w:imprint/>
          <w:color w:val="000000"/>
          <w:sz w:val="28"/>
          <w:szCs w:val="28"/>
        </w:rPr>
        <w:t>5</w:t>
      </w:r>
      <w:r w:rsidR="00255951">
        <w:rPr>
          <w:caps/>
          <w:imprint/>
          <w:color w:val="000000"/>
          <w:sz w:val="28"/>
          <w:szCs w:val="28"/>
        </w:rPr>
        <w:t>6</w:t>
      </w:r>
      <w:r w:rsidR="008120F1">
        <w:rPr>
          <w:caps/>
          <w:imprint/>
          <w:color w:val="000000"/>
          <w:sz w:val="28"/>
          <w:szCs w:val="28"/>
        </w:rPr>
        <w:t xml:space="preserve">                                                                  </w:t>
      </w:r>
      <w:r w:rsidR="00876E74">
        <w:rPr>
          <w:caps/>
          <w:imprint/>
          <w:color w:val="000000"/>
          <w:sz w:val="28"/>
          <w:szCs w:val="28"/>
        </w:rPr>
        <w:t xml:space="preserve">                              </w:t>
      </w:r>
      <w:r w:rsidR="002576D0">
        <w:rPr>
          <w:caps/>
          <w:imprint/>
          <w:color w:val="000000"/>
          <w:sz w:val="28"/>
          <w:szCs w:val="28"/>
        </w:rPr>
        <w:t>2</w:t>
      </w:r>
      <w:r w:rsidR="00255951">
        <w:rPr>
          <w:caps/>
          <w:imprint/>
          <w:color w:val="000000"/>
          <w:sz w:val="28"/>
          <w:szCs w:val="28"/>
        </w:rPr>
        <w:t>9</w:t>
      </w:r>
      <w:r w:rsidR="00F20549">
        <w:rPr>
          <w:caps/>
          <w:imprint/>
          <w:color w:val="000000"/>
          <w:sz w:val="28"/>
          <w:szCs w:val="28"/>
        </w:rPr>
        <w:t>.12</w:t>
      </w:r>
      <w:r w:rsidR="00DD5347">
        <w:rPr>
          <w:caps/>
          <w:imprint/>
          <w:color w:val="000000"/>
          <w:sz w:val="28"/>
          <w:szCs w:val="28"/>
        </w:rPr>
        <w:t>.2020</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Pr="005165B2" w:rsidRDefault="008120F1" w:rsidP="008120F1">
      <w:pPr>
        <w:jc w:val="center"/>
        <w:rPr>
          <w:b/>
        </w:rPr>
      </w:pPr>
      <w:r w:rsidRPr="005165B2">
        <w:rPr>
          <w:b/>
        </w:rPr>
        <w:t>Периодическое печатное издание</w:t>
      </w:r>
    </w:p>
    <w:p w:rsidR="008120F1" w:rsidRPr="005165B2" w:rsidRDefault="008120F1" w:rsidP="008120F1">
      <w:pPr>
        <w:jc w:val="center"/>
        <w:rPr>
          <w:b/>
        </w:rPr>
      </w:pPr>
      <w:r w:rsidRPr="005165B2">
        <w:rPr>
          <w:b/>
        </w:rPr>
        <w:t>Совета депутатов  Верх-Майзасского сельсовета</w:t>
      </w:r>
    </w:p>
    <w:p w:rsidR="008120F1" w:rsidRDefault="008120F1" w:rsidP="008120F1">
      <w:pPr>
        <w:jc w:val="center"/>
        <w:rPr>
          <w:b/>
        </w:rPr>
      </w:pPr>
      <w:r w:rsidRPr="005165B2">
        <w:rPr>
          <w:b/>
        </w:rPr>
        <w:t>Кыштовского района Новосибирской области</w:t>
      </w:r>
    </w:p>
    <w:p w:rsidR="002576D0" w:rsidRDefault="002576D0" w:rsidP="008120F1">
      <w:pPr>
        <w:jc w:val="center"/>
        <w:rPr>
          <w:b/>
        </w:rPr>
      </w:pPr>
    </w:p>
    <w:p w:rsidR="000273A5" w:rsidRDefault="000273A5" w:rsidP="002576D0">
      <w:pPr>
        <w:jc w:val="center"/>
        <w:rPr>
          <w:b/>
          <w:sz w:val="28"/>
          <w:szCs w:val="28"/>
        </w:rPr>
      </w:pPr>
    </w:p>
    <w:p w:rsidR="00255951" w:rsidRPr="00BD092B" w:rsidRDefault="00255951" w:rsidP="00255951">
      <w:pPr>
        <w:ind w:firstLine="709"/>
        <w:jc w:val="center"/>
        <w:rPr>
          <w:b/>
          <w:u w:val="single"/>
        </w:rPr>
      </w:pPr>
      <w:r w:rsidRPr="00BD092B">
        <w:rPr>
          <w:b/>
          <w:u w:val="single"/>
        </w:rPr>
        <w:t>Прокуратура Кыштовского района Новосибирской области информирует об установлении новой единовременной выплаты семьям, имеющим детей</w:t>
      </w:r>
    </w:p>
    <w:p w:rsidR="00255951" w:rsidRDefault="00255951" w:rsidP="00255951">
      <w:pPr>
        <w:ind w:firstLine="709"/>
        <w:jc w:val="both"/>
      </w:pPr>
    </w:p>
    <w:p w:rsidR="00255951" w:rsidRPr="004A01C4" w:rsidRDefault="00255951" w:rsidP="00255951">
      <w:pPr>
        <w:ind w:firstLine="709"/>
        <w:jc w:val="both"/>
      </w:pPr>
      <w:r w:rsidRPr="004A01C4">
        <w:t>Указом Президента Российской Федерации от 17.12.2020 № 797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предусмотрена единовременная выплата в размере 5000 рублей на каждого такого ребёнка.</w:t>
      </w:r>
    </w:p>
    <w:p w:rsidR="00255951" w:rsidRPr="004A01C4" w:rsidRDefault="00255951" w:rsidP="00255951">
      <w:pPr>
        <w:ind w:firstLine="709"/>
        <w:jc w:val="both"/>
      </w:pPr>
      <w:r w:rsidRPr="004A01C4">
        <w:t>Постановлением Правительства Российской Федерации от 17.12.2020 № 2141 утверждены Правила осуществления указанных выплат.</w:t>
      </w:r>
    </w:p>
    <w:p w:rsidR="00255951" w:rsidRPr="004A01C4" w:rsidRDefault="00255951" w:rsidP="00255951">
      <w:pPr>
        <w:ind w:firstLine="709"/>
        <w:jc w:val="both"/>
      </w:pPr>
      <w:r w:rsidRPr="004A01C4">
        <w:t>Так, единовременные выплаты будут зачислены на счёт, указанный ранее в органы Пенсионного фонда России при оформлении единовременных выплат на детей до 3 лет или от 3 до 16 лет в 2020 году.</w:t>
      </w:r>
    </w:p>
    <w:p w:rsidR="00255951" w:rsidRPr="004A01C4" w:rsidRDefault="00255951" w:rsidP="00255951">
      <w:pPr>
        <w:ind w:firstLine="709"/>
        <w:jc w:val="both"/>
      </w:pPr>
      <w:r w:rsidRPr="004A01C4">
        <w:t>Если указанный ранее счёт был закрыт, необходимо подать заявление об изменении реквизитов счёта.</w:t>
      </w:r>
    </w:p>
    <w:p w:rsidR="00255951" w:rsidRPr="004A01C4" w:rsidRDefault="00255951" w:rsidP="00255951">
      <w:pPr>
        <w:ind w:firstLine="709"/>
        <w:jc w:val="both"/>
      </w:pPr>
      <w:r w:rsidRPr="004A01C4">
        <w:t>Если ребёнок родился 1 июля 2020 года и позже или есть дети до 8 лет, на которых ранее не получали указанные выплаты в 2020 году, необходимо подать заявление в органы Пенсионного фонда до 1 апреля 2021 года.</w:t>
      </w:r>
    </w:p>
    <w:p w:rsidR="00255951" w:rsidRPr="004A01C4" w:rsidRDefault="00255951" w:rsidP="00255951">
      <w:pPr>
        <w:ind w:firstLine="709"/>
        <w:jc w:val="both"/>
      </w:pPr>
      <w:r w:rsidRPr="004A01C4">
        <w:t>При принятии положительного решения о предоставлении выплаты в течение 3 рабочих дней она должна быть зачислена на счёт, указанный в заявлении.</w:t>
      </w:r>
    </w:p>
    <w:p w:rsidR="00255951" w:rsidRPr="004A01C4" w:rsidRDefault="00255951" w:rsidP="00255951">
      <w:pPr>
        <w:ind w:firstLine="709"/>
        <w:jc w:val="both"/>
      </w:pPr>
    </w:p>
    <w:p w:rsidR="00255951" w:rsidRPr="004A01C4" w:rsidRDefault="00255951" w:rsidP="00255951">
      <w:pPr>
        <w:ind w:firstLine="709"/>
        <w:jc w:val="both"/>
      </w:pPr>
    </w:p>
    <w:p w:rsidR="00255951" w:rsidRDefault="00255951" w:rsidP="00255951">
      <w:pPr>
        <w:ind w:firstLine="709"/>
        <w:jc w:val="both"/>
        <w:rPr>
          <w:b/>
          <w:u w:val="single"/>
        </w:rPr>
      </w:pPr>
      <w:r w:rsidRPr="00BD092B">
        <w:rPr>
          <w:b/>
          <w:u w:val="single"/>
        </w:rPr>
        <w:t>Прокуратура разъясняет положения лесного законодательства.</w:t>
      </w:r>
    </w:p>
    <w:p w:rsidR="00255951" w:rsidRPr="00BD092B" w:rsidRDefault="00255951" w:rsidP="00255951">
      <w:pPr>
        <w:ind w:firstLine="709"/>
        <w:jc w:val="both"/>
        <w:rPr>
          <w:b/>
          <w:u w:val="single"/>
        </w:rPr>
      </w:pPr>
    </w:p>
    <w:p w:rsidR="00255951" w:rsidRPr="004A01C4" w:rsidRDefault="00255951" w:rsidP="00255951">
      <w:pPr>
        <w:ind w:firstLine="709"/>
        <w:jc w:val="both"/>
      </w:pPr>
      <w:r w:rsidRPr="004A01C4">
        <w:t>Постановлением Правительства Российской Федерации от </w:t>
      </w:r>
      <w:r>
        <w:t xml:space="preserve">21.09.2020 </w:t>
      </w:r>
      <w:r w:rsidRPr="004A01C4">
        <w:t>№ 1509 регламентированы «Особенности использования, охраны, защиты, воспроизводства лесов, расположенных на землях сельскохозяйственного назначения», которые вступили в силу с 01.10.2020.</w:t>
      </w:r>
    </w:p>
    <w:p w:rsidR="00255951" w:rsidRPr="004A01C4" w:rsidRDefault="00255951" w:rsidP="00255951">
      <w:pPr>
        <w:ind w:firstLine="709"/>
        <w:jc w:val="both"/>
      </w:pPr>
      <w:r w:rsidRPr="004A01C4">
        <w:t>Согласно постановлению, леса, расположенные на землях сельскохозяйственного назначения, подлежат освоению с соблюдением целевого назначения таких земель.</w:t>
      </w:r>
      <w:r>
        <w:t xml:space="preserve"> </w:t>
      </w:r>
      <w:r w:rsidRPr="004A01C4">
        <w:t>Использование, охрана, защита лесов, расположенных на землях сельскохозяйственного назначения, а также уход за такими лесами осуществляются правообладателями земельных участков, на которых расположены леса.</w:t>
      </w:r>
    </w:p>
    <w:p w:rsidR="00255951" w:rsidRPr="004A01C4" w:rsidRDefault="00255951" w:rsidP="00255951">
      <w:pPr>
        <w:ind w:firstLine="709"/>
        <w:jc w:val="both"/>
      </w:pPr>
      <w:r w:rsidRPr="004A01C4">
        <w:t>При осуществлении рубок лесных насаждений, расположенных на землях сельскохозяйственного назначения, не допускается повреждение дорог, мостов, просек, мелиоративных систем, дорожных и других сооружений, русел рек и ручьев;</w:t>
      </w:r>
      <w:r>
        <w:t xml:space="preserve"> </w:t>
      </w:r>
      <w:r w:rsidRPr="004A01C4">
        <w:t>использование русел рек и ручьев в качестве трасс волоков и лесных дорог;</w:t>
      </w:r>
      <w:r>
        <w:t xml:space="preserve"> </w:t>
      </w:r>
      <w:r w:rsidRPr="004A01C4">
        <w:t>повреждение лесных насаждений, растительного покрова и почв, захламление промышленными и иными отходами.</w:t>
      </w:r>
    </w:p>
    <w:p w:rsidR="00255951" w:rsidRPr="004A01C4" w:rsidRDefault="00255951" w:rsidP="00255951">
      <w:pPr>
        <w:ind w:firstLine="709"/>
        <w:jc w:val="both"/>
      </w:pPr>
      <w:proofErr w:type="gramStart"/>
      <w:r w:rsidRPr="004A01C4">
        <w:t xml:space="preserve">Также правообладатель земельного участка сельскохозяйственного назначения в течение 2 лет со дня вступления в силу указанного постановления или со дня регистрации права на соответствующий земельный участок вправе направить уведомление об использовании лесов, расположенных на таком земельном участке, с указанием вида или видов использования лесов в орган государственной власти субъекта Российской </w:t>
      </w:r>
      <w:r w:rsidRPr="004A01C4">
        <w:lastRenderedPageBreak/>
        <w:t>Федерации, уполномоченный на обеспечение государственного управления агропромышленным комплексом субъекта Российской</w:t>
      </w:r>
      <w:proofErr w:type="gramEnd"/>
      <w:r w:rsidRPr="004A01C4">
        <w:t xml:space="preserve"> Федерации, а также в Федеральную службу по ветеринарному и фитосанитарному надзору и Федеральную службу государственной регистрации, кадастра и картографии. В случае направления такого уведомления наличие на 50 и более процентах площади земельного участка зарастания древесно-кустарниковой растительностью не является признаком неиспользования земельных участков по целевому назначению или использования с нарушением законодательства Российской Федерации.</w:t>
      </w:r>
    </w:p>
    <w:p w:rsidR="00255951" w:rsidRPr="004A01C4" w:rsidRDefault="00255951" w:rsidP="00255951">
      <w:pPr>
        <w:ind w:firstLine="709"/>
        <w:jc w:val="both"/>
      </w:pPr>
      <w:r w:rsidRPr="004A01C4">
        <w:t xml:space="preserve">В соответствии с указанным нормативным правовым актом заготовка древесины, сбор </w:t>
      </w:r>
      <w:proofErr w:type="spellStart"/>
      <w:r w:rsidRPr="004A01C4">
        <w:t>недревесных</w:t>
      </w:r>
      <w:proofErr w:type="spellEnd"/>
      <w:r w:rsidRPr="004A01C4">
        <w:t xml:space="preserve"> лесных ресурсов и лекарственных растений в лесах, расположенных на землях сельскохозяйственного назначения осуществляется в порядке, предусмотренном ст.ст. 30, 34 Лесного кодекса Российской Федерации.</w:t>
      </w:r>
    </w:p>
    <w:p w:rsidR="00255951" w:rsidRPr="004A01C4" w:rsidRDefault="00255951" w:rsidP="00255951">
      <w:pPr>
        <w:ind w:firstLine="709"/>
        <w:jc w:val="both"/>
      </w:pPr>
      <w:r w:rsidRPr="004A01C4">
        <w:t>Учет, маркировка, транспортировка и декларирование сделок с древесиной, полученной в результате рубок лесных насаждений при осуществлении использования, охраны, защиты, воспроизводства лесов, расположенных на землях сельскохозяйственного назначения, осуществляются в соответствии с требованиями, установленными лесным законодательством Российской Федерации.</w:t>
      </w:r>
    </w:p>
    <w:p w:rsidR="00255951" w:rsidRPr="004A01C4" w:rsidRDefault="00255951" w:rsidP="00255951">
      <w:pPr>
        <w:ind w:firstLine="709"/>
        <w:jc w:val="both"/>
      </w:pPr>
      <w:r w:rsidRPr="004A01C4">
        <w:t>Кроме того, лица, использующие леса, расположенные на землях сельскохозяйственного назначения, и правообладатели земельных участков обязаны соблюдать правила пожарной и санитарной безопасности в лесах, а также правила ухода за лесами.</w:t>
      </w:r>
    </w:p>
    <w:p w:rsidR="00255951" w:rsidRPr="004A01C4" w:rsidRDefault="00255951" w:rsidP="00255951">
      <w:pPr>
        <w:ind w:firstLine="709"/>
        <w:jc w:val="both"/>
      </w:pPr>
    </w:p>
    <w:p w:rsidR="00255951" w:rsidRPr="004A01C4" w:rsidRDefault="00255951" w:rsidP="00255951">
      <w:pPr>
        <w:ind w:firstLine="709"/>
        <w:jc w:val="both"/>
      </w:pPr>
    </w:p>
    <w:p w:rsidR="00255951" w:rsidRPr="00BD092B" w:rsidRDefault="00255951" w:rsidP="00255951">
      <w:pPr>
        <w:ind w:firstLine="709"/>
        <w:jc w:val="both"/>
        <w:rPr>
          <w:b/>
          <w:u w:val="single"/>
        </w:rPr>
      </w:pPr>
      <w:r w:rsidRPr="00BD092B">
        <w:rPr>
          <w:b/>
          <w:u w:val="single"/>
        </w:rPr>
        <w:t>Прокуратура сообщает о внесении изменений в налоговое законодательство.</w:t>
      </w:r>
    </w:p>
    <w:p w:rsidR="00255951" w:rsidRDefault="00255951" w:rsidP="00255951">
      <w:pPr>
        <w:ind w:firstLine="709"/>
        <w:jc w:val="both"/>
      </w:pPr>
    </w:p>
    <w:p w:rsidR="00255951" w:rsidRPr="004A01C4" w:rsidRDefault="00255951" w:rsidP="00255951">
      <w:pPr>
        <w:ind w:firstLine="709"/>
        <w:jc w:val="both"/>
      </w:pPr>
      <w:proofErr w:type="gramStart"/>
      <w:r w:rsidRPr="004A01C4">
        <w:t>Федеральным законом от 23.11.2020 № 373-ФЗ «О внесении изменений в главы 26.2 и 26.5 части второй Налогового кодекса Российской Федерации и статью 2 Федерального закона «О применении контрольно-кассовой техники при осуществлении расчетов в Российской Федерации» (далее - Закон № 373-ФЗ) внесены следующие изменения для перехода со специального налогового режима в виде единого налога на вмененный доход для отдельных видов деятельности (далее - ЕНВД) на</w:t>
      </w:r>
      <w:proofErr w:type="gramEnd"/>
      <w:r w:rsidRPr="004A01C4">
        <w:t xml:space="preserve"> иные специальные налоговые режимы, в том числе патентную систему налогообложения (далее - ПСН).</w:t>
      </w:r>
    </w:p>
    <w:p w:rsidR="00255951" w:rsidRPr="004A01C4" w:rsidRDefault="00255951" w:rsidP="00255951">
      <w:pPr>
        <w:ind w:firstLine="709"/>
        <w:jc w:val="both"/>
      </w:pPr>
      <w:r w:rsidRPr="004A01C4">
        <w:t xml:space="preserve">Плательщикам ПСН так же, как и плательщикам ЕНВД, предоставлено право </w:t>
      </w:r>
      <w:proofErr w:type="gramStart"/>
      <w:r w:rsidRPr="004A01C4">
        <w:t>уменьшать</w:t>
      </w:r>
      <w:proofErr w:type="gramEnd"/>
      <w:r w:rsidRPr="004A01C4">
        <w:t xml:space="preserve"> сумму налога, исчисленную за налоговый период, на страховые взносы (пункт 5 статьи 1 Закона № 373-ФЗ).</w:t>
      </w:r>
    </w:p>
    <w:p w:rsidR="00255951" w:rsidRPr="004A01C4" w:rsidRDefault="00255951" w:rsidP="00255951">
      <w:pPr>
        <w:ind w:firstLine="709"/>
        <w:jc w:val="both"/>
      </w:pPr>
      <w:r w:rsidRPr="004A01C4">
        <w:t>Расширен перечень видов деятельности, в отношении которых может применяться ПСН, в том числе теми, которые применялись в рамках ЕНВД: автостоянки, ремонт, техническое обслуживание и мойка автотранспортных средств. Субъекты РФ получат право вводить на своей территории ПСН в отношении любых видов деятельности, поименованных в ОКВЭД, устанавливать в отношении таких видов деятельности любые физические показатели для расчета налоговой базы по ПСН.</w:t>
      </w:r>
    </w:p>
    <w:p w:rsidR="00255951" w:rsidRPr="004A01C4" w:rsidRDefault="00255951" w:rsidP="00255951">
      <w:pPr>
        <w:ind w:firstLine="709"/>
        <w:jc w:val="both"/>
      </w:pPr>
      <w:r w:rsidRPr="004A01C4">
        <w:t>Увеличены ограничения по площади в отношении розничной торговли, осуществляемой через объекты стационарной торговой сети, и оказания услуг общественного питания, осуществляемых через объекты организации общественного питания, с 50 до 150 кв. м.</w:t>
      </w:r>
    </w:p>
    <w:p w:rsidR="00255951" w:rsidRPr="004A01C4" w:rsidRDefault="00255951" w:rsidP="00255951">
      <w:pPr>
        <w:ind w:firstLine="709"/>
        <w:jc w:val="both"/>
      </w:pPr>
      <w:r w:rsidRPr="004A01C4">
        <w:t xml:space="preserve">Кроме того, до принятия соответствующих законов субъектов Российской Федерации предусмотрен переходный период, в рамках которого налогоплательщики смогут до 31.03.2021 применять ПСН по виду деятельности розничная торговля, общепит, стоянка автомобилей и автомастерские на расчетных условиях, максимально приближенных к </w:t>
      </w:r>
      <w:proofErr w:type="gramStart"/>
      <w:r w:rsidRPr="004A01C4">
        <w:t>действующим</w:t>
      </w:r>
      <w:proofErr w:type="gramEnd"/>
      <w:r w:rsidRPr="004A01C4">
        <w:t xml:space="preserve"> на ЕНВД в 2020 году. Такие патенты могут быть получены индивидуальными предпринимателями, если они применяли ЕНВД по соответствующему виду предпринимательской деятельности в четвертом квартале 2020 года (пункт 1 статьи 3 Закона № 373-ФЗ).</w:t>
      </w:r>
    </w:p>
    <w:p w:rsidR="00255951" w:rsidRPr="004A01C4" w:rsidRDefault="00255951" w:rsidP="00255951">
      <w:pPr>
        <w:ind w:firstLine="709"/>
        <w:jc w:val="both"/>
      </w:pPr>
      <w:r w:rsidRPr="004A01C4">
        <w:lastRenderedPageBreak/>
        <w:t>Указанные изменения вступают в силу с 01.01.2021.</w:t>
      </w:r>
    </w:p>
    <w:p w:rsidR="00255951" w:rsidRDefault="00255951" w:rsidP="00255951">
      <w:pPr>
        <w:ind w:firstLine="709"/>
        <w:jc w:val="both"/>
      </w:pPr>
    </w:p>
    <w:p w:rsidR="00255951" w:rsidRPr="00BD092B" w:rsidRDefault="00255951" w:rsidP="00255951">
      <w:pPr>
        <w:ind w:firstLine="709"/>
        <w:jc w:val="both"/>
        <w:rPr>
          <w:b/>
          <w:u w:val="single"/>
        </w:rPr>
      </w:pPr>
      <w:r w:rsidRPr="00BD092B">
        <w:rPr>
          <w:b/>
          <w:u w:val="single"/>
        </w:rPr>
        <w:t>Прокуратура разъясняет ответственность за нарушение требований безопасности дорожного движения.</w:t>
      </w:r>
    </w:p>
    <w:p w:rsidR="00255951" w:rsidRDefault="00255951" w:rsidP="00255951">
      <w:pPr>
        <w:ind w:firstLine="709"/>
        <w:jc w:val="both"/>
      </w:pPr>
    </w:p>
    <w:p w:rsidR="00255951" w:rsidRPr="004A01C4" w:rsidRDefault="00255951" w:rsidP="00255951">
      <w:pPr>
        <w:ind w:firstLine="709"/>
        <w:jc w:val="both"/>
      </w:pPr>
      <w:r w:rsidRPr="004A01C4">
        <w:t>Уголовным кодексом Российской Федерации предусмотрена уголовная ответственность за нарушение правил дорожного движения и эксплуатации транспортных средств, повлекшее наступление по неосторожности негативных последствий в виде причинения тяжкого вреда здоровью человека либо его смерть.</w:t>
      </w:r>
    </w:p>
    <w:p w:rsidR="00255951" w:rsidRPr="004A01C4" w:rsidRDefault="00255951" w:rsidP="00255951">
      <w:pPr>
        <w:ind w:firstLine="709"/>
        <w:jc w:val="both"/>
      </w:pPr>
      <w:r w:rsidRPr="004A01C4">
        <w:t xml:space="preserve">Так, по части 1 статьи 264 Уголовного кодекса Российской Федерации уголовная ответственность наступает за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w:t>
      </w:r>
      <w:proofErr w:type="gramStart"/>
      <w:r w:rsidRPr="004A01C4">
        <w:t>Данное деяние наказывается лишением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w:t>
      </w:r>
      <w:proofErr w:type="gramEnd"/>
      <w:r w:rsidRPr="004A01C4">
        <w:t xml:space="preserve"> деятельностью на срок до трех лет или без такового.</w:t>
      </w:r>
    </w:p>
    <w:p w:rsidR="00255951" w:rsidRPr="004A01C4" w:rsidRDefault="00255951" w:rsidP="00255951">
      <w:pPr>
        <w:ind w:firstLine="709"/>
        <w:jc w:val="both"/>
      </w:pPr>
      <w:proofErr w:type="gramStart"/>
      <w:r w:rsidRPr="004A01C4">
        <w:t>Деяние, предусмотренное частью первой данной статьи, повлекшее по неосторожности причинение тяжкого вреда здоровью человека, если оно совершено лицом, находящимся в состоянии опьянения либо сопряжено с оставлением места его совершения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rsidRPr="004A01C4">
        <w:t xml:space="preserve"> семи лет с лишением права занимать определенные должности или заниматься определенной деятельностью на срок до трех лет.</w:t>
      </w:r>
    </w:p>
    <w:p w:rsidR="00255951" w:rsidRPr="004A01C4" w:rsidRDefault="00255951" w:rsidP="00255951">
      <w:pPr>
        <w:ind w:firstLine="709"/>
        <w:jc w:val="both"/>
      </w:pPr>
      <w:proofErr w:type="gramStart"/>
      <w:r w:rsidRPr="004A01C4">
        <w:t>Часть 3 данной статьи предусматривает уголовную ответственность за совершение денного деяния, если оно повлекло по неосторожности смерть человека, и 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w:t>
      </w:r>
      <w:proofErr w:type="gramEnd"/>
      <w:r w:rsidRPr="004A01C4">
        <w:t xml:space="preserve"> на срок до трех лет.</w:t>
      </w:r>
    </w:p>
    <w:p w:rsidR="00255951" w:rsidRPr="004A01C4" w:rsidRDefault="00255951" w:rsidP="00255951">
      <w:pPr>
        <w:ind w:firstLine="709"/>
        <w:jc w:val="both"/>
      </w:pPr>
      <w:r w:rsidRPr="004A01C4">
        <w:t xml:space="preserve">По части 5 статьи 264 Уголовного кодекса Российской Федерации лицо будет осуждено, если совершенное им деяние повлекло по неосторожности смерть двух или более лиц. </w:t>
      </w:r>
      <w:proofErr w:type="gramStart"/>
      <w:r w:rsidRPr="004A01C4">
        <w:t>В этом случае лицу может быть назначено наказание в виде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либо лишения свободы на срок до семи лет с лишением права занимать определенные должности или заниматься определенной деятельностью на срок до трех лет.</w:t>
      </w:r>
      <w:proofErr w:type="gramEnd"/>
    </w:p>
    <w:p w:rsidR="00255951" w:rsidRPr="004A01C4" w:rsidRDefault="00255951" w:rsidP="00255951">
      <w:pPr>
        <w:ind w:firstLine="709"/>
        <w:jc w:val="both"/>
      </w:pPr>
      <w:proofErr w:type="gramStart"/>
      <w:r w:rsidRPr="004A01C4">
        <w:t>По части 6 статьи 264 Уголовного кодекса Российской Федерации лицо будет осуждено, если совершенное им деяние, предусмотренное часть. 5 данной статьи совершено в состоянии опьянения либо сопряжено с оставлением места его совершения, и 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roofErr w:type="gramEnd"/>
    </w:p>
    <w:p w:rsidR="00255951" w:rsidRPr="004A01C4" w:rsidRDefault="00255951" w:rsidP="00255951">
      <w:pPr>
        <w:ind w:firstLine="709"/>
        <w:jc w:val="both"/>
      </w:pPr>
      <w:proofErr w:type="gramStart"/>
      <w:r w:rsidRPr="004A01C4">
        <w:t xml:space="preserve">Уголовной ответственности по данной статье подлежат лица, достигшие 16-летнего возраста лицо, управлявшие автомобилем, трамваем или другим механическим транспортным средством, предназначенным для перевозки по дорогам людей, грузов или оборудования, установленного на нем. К механическим транспортным средствам относятся автомобили, автобусы, троллейбусы, трамваи, мотоциклы, </w:t>
      </w:r>
      <w:proofErr w:type="spellStart"/>
      <w:r w:rsidRPr="004A01C4">
        <w:t>квадроциклы</w:t>
      </w:r>
      <w:proofErr w:type="spellEnd"/>
      <w:r w:rsidRPr="004A01C4">
        <w:t xml:space="preserve">, мопеды, иные транспортные средства, на управление которыми в соответствии с законодательством Российской Федерации о безопасности дорожного движения </w:t>
      </w:r>
      <w:r w:rsidRPr="004A01C4">
        <w:lastRenderedPageBreak/>
        <w:t>предоставляется</w:t>
      </w:r>
      <w:proofErr w:type="gramEnd"/>
      <w:r w:rsidRPr="004A01C4">
        <w:t xml:space="preserve"> специальное право, а также трактора, самоходные дорожно-строительные и иные самоходные машины.</w:t>
      </w:r>
    </w:p>
    <w:p w:rsidR="00255951" w:rsidRPr="004A01C4" w:rsidRDefault="00255951" w:rsidP="00255951">
      <w:pPr>
        <w:ind w:firstLine="709"/>
        <w:jc w:val="both"/>
      </w:pPr>
      <w:r w:rsidRPr="004A01C4">
        <w:t>При этом наличие у виновного лица водительского удостоверения не является обаятельным условием для привлечения его к уголовной ответственности за совершение данного деяния. То есть к уголовной ответственности может быть привлечено и лицо, не имевшее либо лишенное права управления соответствующим видом транспортного средства, а также лицо, обучающее вождению на учебном транспортном средстве с двойным управлением.</w:t>
      </w:r>
    </w:p>
    <w:p w:rsidR="00255951" w:rsidRPr="004A01C4" w:rsidRDefault="00255951" w:rsidP="00255951">
      <w:pPr>
        <w:ind w:firstLine="709"/>
        <w:jc w:val="both"/>
      </w:pPr>
      <w:proofErr w:type="gramStart"/>
      <w:r w:rsidRPr="004A01C4">
        <w:t>Лица, управлявшие транспортными средствами, не относящимися к указанным механическим транспортным средствам (например, велосипедами), и допустившие нарушение правил безопасности движения или эксплуатации транспортных средств, повлекшее по неосторожности причинение тяжкого вреда здоровью или смерть человека, при наличии к тому оснований несут ответственность соответственно по частям 1, 2 или 3 статьи 268 Уголовного кодекса Российской Федерации.</w:t>
      </w:r>
      <w:proofErr w:type="gramEnd"/>
    </w:p>
    <w:p w:rsidR="00255951" w:rsidRPr="004A01C4" w:rsidRDefault="00255951" w:rsidP="00255951">
      <w:pPr>
        <w:ind w:firstLine="709"/>
        <w:jc w:val="both"/>
      </w:pPr>
      <w:r w:rsidRPr="004A01C4">
        <w:t>Уголовная ответственность по статье 264 Уголовного кодекса Российской Федерации наступает, если у водителя имелась техническая возможность избежать дорожно-транспортного происшествия и между его действиями и наступившими последствиями установлена причинная связь.</w:t>
      </w:r>
    </w:p>
    <w:p w:rsidR="00255951" w:rsidRPr="004A01C4" w:rsidRDefault="00255951" w:rsidP="00255951">
      <w:pPr>
        <w:ind w:firstLine="709"/>
        <w:jc w:val="both"/>
      </w:pPr>
    </w:p>
    <w:p w:rsidR="00255951" w:rsidRPr="004A01C4" w:rsidRDefault="00255951" w:rsidP="00255951">
      <w:pPr>
        <w:ind w:firstLine="709"/>
        <w:jc w:val="both"/>
      </w:pPr>
    </w:p>
    <w:p w:rsidR="00255951" w:rsidRPr="00BD092B" w:rsidRDefault="00255951" w:rsidP="00255951">
      <w:pPr>
        <w:ind w:firstLine="709"/>
        <w:jc w:val="both"/>
        <w:rPr>
          <w:b/>
          <w:u w:val="single"/>
        </w:rPr>
      </w:pPr>
      <w:r w:rsidRPr="00BD092B">
        <w:rPr>
          <w:b/>
          <w:u w:val="single"/>
        </w:rPr>
        <w:t>Прокуратура дает ответ на вопрос: Можно ли оспорить протокол об административном правонарушении до его рассмотрения уполномоченным органом?</w:t>
      </w:r>
    </w:p>
    <w:p w:rsidR="00255951" w:rsidRPr="00BD092B" w:rsidRDefault="00255951" w:rsidP="00255951">
      <w:pPr>
        <w:ind w:firstLine="709"/>
        <w:jc w:val="both"/>
        <w:rPr>
          <w:b/>
          <w:u w:val="single"/>
        </w:rPr>
      </w:pPr>
    </w:p>
    <w:p w:rsidR="00255951" w:rsidRPr="004A01C4" w:rsidRDefault="00255951" w:rsidP="00255951">
      <w:pPr>
        <w:ind w:firstLine="709"/>
        <w:jc w:val="both"/>
      </w:pPr>
      <w:r w:rsidRPr="004A01C4">
        <w:t>Обжалование протоколов об административном правонарушении действующим законодательством не предусмотрено.</w:t>
      </w:r>
    </w:p>
    <w:p w:rsidR="00255951" w:rsidRPr="004A01C4" w:rsidRDefault="00255951" w:rsidP="00255951">
      <w:pPr>
        <w:ind w:firstLine="709"/>
        <w:jc w:val="both"/>
      </w:pPr>
      <w:r w:rsidRPr="004A01C4">
        <w:t xml:space="preserve">Положения Кодекса Российской Федерации об административных правонарушениях закрепляют, что вопрос правильности составления протокола об административном правонарушении выясняется судьей, органом или должностным лицом при подготовке к рассмотрению дела об административном правонарушении (п. 3 ст. 29.1 </w:t>
      </w:r>
      <w:proofErr w:type="spellStart"/>
      <w:r w:rsidRPr="004A01C4">
        <w:t>КоАП</w:t>
      </w:r>
      <w:proofErr w:type="spellEnd"/>
      <w:r w:rsidRPr="004A01C4">
        <w:t xml:space="preserve"> РФ).</w:t>
      </w:r>
    </w:p>
    <w:p w:rsidR="00255951" w:rsidRPr="004A01C4" w:rsidRDefault="00255951" w:rsidP="00255951">
      <w:pPr>
        <w:ind w:firstLine="709"/>
        <w:jc w:val="both"/>
      </w:pPr>
      <w:proofErr w:type="gramStart"/>
      <w:r w:rsidRPr="004A01C4">
        <w:t xml:space="preserve">В соответствии с п. 4 ч. 1 ст. 29.4 </w:t>
      </w:r>
      <w:proofErr w:type="spellStart"/>
      <w:r w:rsidRPr="004A01C4">
        <w:t>КоАП</w:t>
      </w:r>
      <w:proofErr w:type="spellEnd"/>
      <w:r w:rsidRPr="004A01C4">
        <w:t xml:space="preserve"> РФ при подготовке к рассмотрению дела об административном правонарушении разрешаются вопросы, по которым в случае необходимости выносится определение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w:t>
      </w:r>
      <w:proofErr w:type="gramEnd"/>
      <w:r w:rsidRPr="004A01C4">
        <w:t xml:space="preserve"> оформления других материалов дела либо неполноты представленных материалов, которая не может быть восполнена при рассмотрении дела.</w:t>
      </w:r>
    </w:p>
    <w:p w:rsidR="00255951" w:rsidRPr="004A01C4" w:rsidRDefault="00255951" w:rsidP="00255951">
      <w:pPr>
        <w:ind w:firstLine="709"/>
        <w:jc w:val="both"/>
      </w:pPr>
      <w:r w:rsidRPr="004A01C4">
        <w:t>По своей правовой природе протокол об административном правонарушении является процессуальным документом, составление протокола не оканчивает производство по делу об административном правонарушении, протокол об административном правонарушении не порождает правовых последствий для лица, в отношении которого он составлен.</w:t>
      </w:r>
    </w:p>
    <w:p w:rsidR="00255951" w:rsidRPr="004A01C4" w:rsidRDefault="00255951" w:rsidP="00255951">
      <w:pPr>
        <w:ind w:firstLine="709"/>
        <w:jc w:val="both"/>
      </w:pPr>
      <w:r w:rsidRPr="004A01C4">
        <w:t>При этом</w:t>
      </w:r>
      <w:proofErr w:type="gramStart"/>
      <w:r w:rsidRPr="004A01C4">
        <w:t>,</w:t>
      </w:r>
      <w:proofErr w:type="gramEnd"/>
      <w:r w:rsidRPr="004A01C4">
        <w:t xml:space="preserve"> указанные обстоятельства не лишают заинтересованных лиц права по результатам ознакомления с протоколом об административном правонарушении представить свои объяснения и замечания по его содержанию, которые прилагаются к протоколу (ч. 4 ст. 28.2 </w:t>
      </w:r>
      <w:proofErr w:type="spellStart"/>
      <w:r w:rsidRPr="004A01C4">
        <w:t>КоАП</w:t>
      </w:r>
      <w:proofErr w:type="spellEnd"/>
      <w:r w:rsidRPr="004A01C4">
        <w:t xml:space="preserve"> РФ), а при обжаловании постановления (решения) по делу об административном правонарушении - привести в жалобе замечания и возражения на протокол об административном правонарушении, которые подлежат оценке судьей, должностным лицом при рассмотрении жалобы. Указанный вывод нашел свое подтверждение в Определении Конституционного Суда РФ от 26.11.2018 № 3071-О.</w:t>
      </w:r>
    </w:p>
    <w:p w:rsidR="00255951" w:rsidRPr="004A01C4" w:rsidRDefault="00255951" w:rsidP="00255951">
      <w:pPr>
        <w:ind w:firstLine="709"/>
        <w:jc w:val="both"/>
      </w:pPr>
      <w:r w:rsidRPr="004A01C4">
        <w:t xml:space="preserve">Таким образом, при несогласии с протоколом об административном правонарушении гражданин вправе представить объяснения и замечания по содержанию </w:t>
      </w:r>
      <w:r w:rsidRPr="004A01C4">
        <w:lastRenderedPageBreak/>
        <w:t xml:space="preserve">протокола, которые прилагаются к нему, а также, при несогласии с принятым по результату рассмотрения протокола решением, обжаловать его в порядке, установленном главой 30 </w:t>
      </w:r>
      <w:proofErr w:type="spellStart"/>
      <w:r w:rsidRPr="004A01C4">
        <w:t>КоАП</w:t>
      </w:r>
      <w:proofErr w:type="spellEnd"/>
      <w:r w:rsidRPr="004A01C4">
        <w:t xml:space="preserve"> РФ.</w:t>
      </w:r>
    </w:p>
    <w:p w:rsidR="00255951" w:rsidRPr="004A01C4" w:rsidRDefault="00255951" w:rsidP="00255951">
      <w:pPr>
        <w:ind w:firstLine="709"/>
        <w:jc w:val="both"/>
      </w:pPr>
      <w:r w:rsidRPr="004A01C4">
        <w:t> </w:t>
      </w:r>
      <w:bookmarkStart w:id="0" w:name="_GoBack"/>
      <w:bookmarkEnd w:id="0"/>
    </w:p>
    <w:p w:rsidR="000273A5" w:rsidRDefault="000273A5" w:rsidP="002576D0">
      <w:pPr>
        <w:jc w:val="center"/>
        <w:rPr>
          <w:b/>
          <w:sz w:val="28"/>
          <w:szCs w:val="28"/>
        </w:rPr>
      </w:pPr>
    </w:p>
    <w:p w:rsidR="000273A5" w:rsidRDefault="000273A5" w:rsidP="002576D0">
      <w:pPr>
        <w:jc w:val="center"/>
        <w:rPr>
          <w:b/>
          <w:sz w:val="28"/>
          <w:szCs w:val="28"/>
        </w:rPr>
      </w:pPr>
    </w:p>
    <w:p w:rsidR="000273A5" w:rsidRDefault="000273A5" w:rsidP="002576D0">
      <w:pPr>
        <w:jc w:val="center"/>
        <w:rPr>
          <w:b/>
          <w:sz w:val="28"/>
          <w:szCs w:val="28"/>
        </w:rPr>
      </w:pPr>
    </w:p>
    <w:p w:rsidR="000273A5" w:rsidRDefault="000273A5" w:rsidP="002576D0">
      <w:pPr>
        <w:jc w:val="center"/>
        <w:rPr>
          <w:b/>
          <w:sz w:val="28"/>
          <w:szCs w:val="28"/>
        </w:rPr>
      </w:pPr>
    </w:p>
    <w:p w:rsidR="000273A5" w:rsidRDefault="000273A5" w:rsidP="002576D0">
      <w:pPr>
        <w:jc w:val="center"/>
        <w:rPr>
          <w:b/>
          <w:sz w:val="28"/>
          <w:szCs w:val="28"/>
        </w:rPr>
      </w:pPr>
    </w:p>
    <w:p w:rsidR="000273A5" w:rsidRDefault="000273A5" w:rsidP="002576D0">
      <w:pPr>
        <w:jc w:val="center"/>
        <w:rPr>
          <w:b/>
          <w:sz w:val="28"/>
          <w:szCs w:val="28"/>
        </w:rPr>
      </w:pPr>
    </w:p>
    <w:p w:rsidR="000273A5" w:rsidRDefault="000273A5" w:rsidP="002576D0">
      <w:pPr>
        <w:jc w:val="center"/>
        <w:rPr>
          <w:b/>
          <w:sz w:val="28"/>
          <w:szCs w:val="28"/>
        </w:rPr>
      </w:pPr>
    </w:p>
    <w:p w:rsidR="000273A5" w:rsidRDefault="000273A5" w:rsidP="002576D0">
      <w:pPr>
        <w:jc w:val="center"/>
        <w:rPr>
          <w:b/>
          <w:sz w:val="28"/>
          <w:szCs w:val="28"/>
        </w:rPr>
      </w:pPr>
    </w:p>
    <w:p w:rsidR="000273A5" w:rsidRDefault="000273A5" w:rsidP="002576D0">
      <w:pPr>
        <w:jc w:val="center"/>
        <w:rPr>
          <w:b/>
          <w:sz w:val="28"/>
          <w:szCs w:val="28"/>
        </w:rPr>
      </w:pPr>
    </w:p>
    <w:p w:rsidR="000273A5" w:rsidRDefault="000273A5" w:rsidP="002576D0">
      <w:pPr>
        <w:jc w:val="center"/>
        <w:rPr>
          <w:b/>
          <w:sz w:val="28"/>
          <w:szCs w:val="28"/>
        </w:rPr>
      </w:pPr>
    </w:p>
    <w:p w:rsidR="000273A5" w:rsidRDefault="000273A5"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255951" w:rsidRDefault="00255951" w:rsidP="002576D0">
      <w:pPr>
        <w:jc w:val="center"/>
        <w:rPr>
          <w:b/>
          <w:sz w:val="28"/>
          <w:szCs w:val="28"/>
        </w:rPr>
      </w:pPr>
    </w:p>
    <w:p w:rsidR="000273A5" w:rsidRPr="00B75FA6" w:rsidRDefault="000273A5" w:rsidP="002576D0">
      <w:pPr>
        <w:jc w:val="center"/>
        <w:rPr>
          <w:b/>
          <w:sz w:val="28"/>
          <w:szCs w:val="28"/>
        </w:rPr>
      </w:pPr>
    </w:p>
    <w:p w:rsidR="002576D0" w:rsidRPr="00B75FA6" w:rsidRDefault="002576D0" w:rsidP="002576D0">
      <w:pPr>
        <w:rPr>
          <w:sz w:val="28"/>
          <w:szCs w:val="28"/>
        </w:rPr>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иодическое печатное  издание №</w:t>
      </w:r>
      <w:r w:rsidR="00C40EB2">
        <w:rPr>
          <w:rFonts w:ascii="Times New Roman" w:hAnsi="Times New Roman" w:cs="Times New Roman"/>
          <w:color w:val="000000"/>
          <w:sz w:val="24"/>
          <w:szCs w:val="24"/>
        </w:rPr>
        <w:t xml:space="preserve">  </w:t>
      </w:r>
      <w:r w:rsidR="00F20549">
        <w:rPr>
          <w:rFonts w:ascii="Times New Roman" w:hAnsi="Times New Roman" w:cs="Times New Roman"/>
          <w:color w:val="000000"/>
          <w:sz w:val="24"/>
          <w:szCs w:val="24"/>
        </w:rPr>
        <w:t>5</w:t>
      </w:r>
      <w:r w:rsidR="00255951">
        <w:rPr>
          <w:rFonts w:ascii="Times New Roman" w:hAnsi="Times New Roman" w:cs="Times New Roman"/>
          <w:color w:val="000000"/>
          <w:sz w:val="24"/>
          <w:szCs w:val="24"/>
        </w:rPr>
        <w:t>6</w:t>
      </w:r>
      <w:r w:rsidR="000273A5">
        <w:rPr>
          <w:rFonts w:ascii="Times New Roman" w:hAnsi="Times New Roman" w:cs="Times New Roman"/>
          <w:color w:val="000000"/>
          <w:sz w:val="24"/>
          <w:szCs w:val="24"/>
        </w:rPr>
        <w:t xml:space="preserve"> 2</w:t>
      </w:r>
      <w:r w:rsidR="00255951">
        <w:rPr>
          <w:rFonts w:ascii="Times New Roman" w:hAnsi="Times New Roman" w:cs="Times New Roman"/>
          <w:color w:val="000000"/>
          <w:sz w:val="24"/>
          <w:szCs w:val="24"/>
        </w:rPr>
        <w:t>9</w:t>
      </w:r>
      <w:r w:rsidR="00F20549">
        <w:rPr>
          <w:rFonts w:ascii="Times New Roman" w:hAnsi="Times New Roman" w:cs="Times New Roman"/>
          <w:color w:val="000000"/>
          <w:sz w:val="24"/>
          <w:szCs w:val="24"/>
        </w:rPr>
        <w:t>.12</w:t>
      </w:r>
      <w:r w:rsidR="0060661F">
        <w:rPr>
          <w:rFonts w:ascii="Times New Roman" w:hAnsi="Times New Roman" w:cs="Times New Roman"/>
          <w:color w:val="000000"/>
          <w:sz w:val="24"/>
          <w:szCs w:val="24"/>
        </w:rPr>
        <w:t>.2020</w:t>
      </w:r>
      <w:r w:rsidR="008B5943">
        <w:rPr>
          <w:rFonts w:ascii="Times New Roman" w:hAnsi="Times New Roman" w:cs="Times New Roman"/>
          <w:color w:val="000000"/>
          <w:sz w:val="24"/>
          <w:szCs w:val="24"/>
        </w:rPr>
        <w:t xml:space="preserve"> </w:t>
      </w:r>
      <w:r w:rsidRPr="0011663A">
        <w:rPr>
          <w:rFonts w:ascii="Times New Roman" w:hAnsi="Times New Roman" w:cs="Times New Roman"/>
          <w:color w:val="000000"/>
          <w:sz w:val="24"/>
          <w:szCs w:val="24"/>
        </w:rPr>
        <w:t xml:space="preserve">года  </w:t>
      </w:r>
    </w:p>
    <w:p w:rsidR="00F634C0" w:rsidRPr="0011663A" w:rsidRDefault="00F634C0" w:rsidP="00993895">
      <w:pPr>
        <w:rPr>
          <w:color w:val="000000"/>
        </w:rPr>
      </w:pPr>
      <w:r w:rsidRPr="0011663A">
        <w:rPr>
          <w:color w:val="000000"/>
        </w:rPr>
        <w:t>В</w:t>
      </w:r>
      <w:r w:rsidR="008120F1" w:rsidRPr="0011663A">
        <w:rPr>
          <w:color w:val="000000"/>
        </w:rPr>
        <w:t xml:space="preserve">естник                            Адрес:  632285 с.Верх-Майзасс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r w:rsidR="008120F1" w:rsidRPr="0011663A">
        <w:rPr>
          <w:color w:val="000000"/>
        </w:rPr>
        <w:t>ул.Нарымская, 30</w:t>
      </w:r>
    </w:p>
    <w:p w:rsidR="005D43FF" w:rsidRPr="0011663A" w:rsidRDefault="008120F1" w:rsidP="00993895">
      <w:r w:rsidRPr="0011663A">
        <w:rPr>
          <w:color w:val="000000"/>
        </w:rPr>
        <w:t xml:space="preserve">                                          Подписано к печати:</w:t>
      </w:r>
      <w:r w:rsidR="00D82304">
        <w:rPr>
          <w:color w:val="000000"/>
        </w:rPr>
        <w:t xml:space="preserve"> </w:t>
      </w:r>
      <w:r w:rsidR="002576D0">
        <w:rPr>
          <w:color w:val="000000"/>
        </w:rPr>
        <w:t>2</w:t>
      </w:r>
      <w:r w:rsidR="00255951">
        <w:rPr>
          <w:color w:val="000000"/>
        </w:rPr>
        <w:t>9</w:t>
      </w:r>
      <w:r w:rsidR="00F20549">
        <w:rPr>
          <w:color w:val="000000"/>
        </w:rPr>
        <w:t>.12</w:t>
      </w:r>
      <w:r w:rsidR="0060661F">
        <w:rPr>
          <w:color w:val="000000"/>
        </w:rPr>
        <w:t>.2020</w:t>
      </w:r>
      <w:r w:rsidR="00F95434">
        <w:rPr>
          <w:color w:val="000000"/>
        </w:rPr>
        <w:t xml:space="preserve"> </w:t>
      </w:r>
      <w:r w:rsidRPr="0011663A">
        <w:rPr>
          <w:color w:val="000000"/>
        </w:rPr>
        <w:t xml:space="preserve">г. Тираж  </w:t>
      </w:r>
      <w:r w:rsidR="000273A5">
        <w:rPr>
          <w:color w:val="000000"/>
        </w:rPr>
        <w:t>15</w:t>
      </w:r>
      <w:r w:rsidRPr="0011663A">
        <w:rPr>
          <w:color w:val="000000"/>
        </w:rPr>
        <w:t xml:space="preserve">  экз. </w:t>
      </w:r>
    </w:p>
    <w:sectPr w:rsidR="005D43FF" w:rsidRPr="0011663A" w:rsidSect="00F20549">
      <w:headerReference w:type="even" r:id="rId8"/>
      <w:headerReference w:type="default" r:id="rId9"/>
      <w:pgSz w:w="11906" w:h="16838"/>
      <w:pgMar w:top="1134" w:right="850"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17B" w:rsidRDefault="0007717B" w:rsidP="00A01B75">
      <w:r>
        <w:separator/>
      </w:r>
    </w:p>
  </w:endnote>
  <w:endnote w:type="continuationSeparator" w:id="0">
    <w:p w:rsidR="0007717B" w:rsidRDefault="0007717B" w:rsidP="00A01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17B" w:rsidRDefault="0007717B" w:rsidP="00A01B75">
      <w:r>
        <w:separator/>
      </w:r>
    </w:p>
  </w:footnote>
  <w:footnote w:type="continuationSeparator" w:id="0">
    <w:p w:rsidR="0007717B" w:rsidRDefault="0007717B" w:rsidP="00A0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25" w:rsidRDefault="00204DC6" w:rsidP="005D43FF">
    <w:pPr>
      <w:pStyle w:val="a7"/>
      <w:framePr w:wrap="around" w:vAnchor="text" w:hAnchor="margin" w:xAlign="center" w:y="1"/>
      <w:rPr>
        <w:rStyle w:val="a9"/>
      </w:rPr>
    </w:pPr>
    <w:r>
      <w:rPr>
        <w:rStyle w:val="a9"/>
      </w:rPr>
      <w:fldChar w:fldCharType="begin"/>
    </w:r>
    <w:r w:rsidR="001A5B25">
      <w:rPr>
        <w:rStyle w:val="a9"/>
      </w:rPr>
      <w:instrText xml:space="preserve">PAGE  </w:instrText>
    </w:r>
    <w:r>
      <w:rPr>
        <w:rStyle w:val="a9"/>
      </w:rPr>
      <w:fldChar w:fldCharType="separate"/>
    </w:r>
    <w:r w:rsidR="001A5B25">
      <w:rPr>
        <w:rStyle w:val="a9"/>
        <w:noProof/>
      </w:rPr>
      <w:t>2</w:t>
    </w:r>
    <w:r>
      <w:rPr>
        <w:rStyle w:val="a9"/>
      </w:rPr>
      <w:fldChar w:fldCharType="end"/>
    </w:r>
  </w:p>
  <w:p w:rsidR="001A5B25" w:rsidRDefault="001A5B2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25" w:rsidRPr="00743EF3" w:rsidRDefault="001A5B25" w:rsidP="005D43FF">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F449D6"/>
    <w:multiLevelType w:val="multilevel"/>
    <w:tmpl w:val="FDF44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7">
    <w:nsid w:val="1AB1309A"/>
    <w:multiLevelType w:val="hybridMultilevel"/>
    <w:tmpl w:val="AAD644C8"/>
    <w:lvl w:ilvl="0" w:tplc="43A0AF8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263B52"/>
    <w:multiLevelType w:val="singleLevel"/>
    <w:tmpl w:val="2D263B52"/>
    <w:lvl w:ilvl="0">
      <w:start w:val="6"/>
      <w:numFmt w:val="decimal"/>
      <w:suff w:val="space"/>
      <w:lvlText w:val="%1."/>
      <w:lvlJc w:val="left"/>
    </w:lvl>
  </w:abstractNum>
  <w:abstractNum w:abstractNumId="14">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7">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8">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C257E0"/>
    <w:multiLevelType w:val="hybridMultilevel"/>
    <w:tmpl w:val="3758A914"/>
    <w:lvl w:ilvl="0" w:tplc="E45076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87742C9"/>
    <w:multiLevelType w:val="multilevel"/>
    <w:tmpl w:val="AB0A1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305609"/>
    <w:multiLevelType w:val="hybridMultilevel"/>
    <w:tmpl w:val="F40897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B1EE1"/>
    <w:multiLevelType w:val="hybridMultilevel"/>
    <w:tmpl w:val="01A2EAC8"/>
    <w:lvl w:ilvl="0" w:tplc="A808B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22"/>
  </w:num>
  <w:num w:numId="4">
    <w:abstractNumId w:val="33"/>
  </w:num>
  <w:num w:numId="5">
    <w:abstractNumId w:val="18"/>
  </w:num>
  <w:num w:numId="6">
    <w:abstractNumId w:val="16"/>
  </w:num>
  <w:num w:numId="7">
    <w:abstractNumId w:val="25"/>
  </w:num>
  <w:num w:numId="8">
    <w:abstractNumId w:val="9"/>
  </w:num>
  <w:num w:numId="9">
    <w:abstractNumId w:val="38"/>
  </w:num>
  <w:num w:numId="10">
    <w:abstractNumId w:val="26"/>
  </w:num>
  <w:num w:numId="11">
    <w:abstractNumId w:val="27"/>
  </w:num>
  <w:num w:numId="12">
    <w:abstractNumId w:val="4"/>
  </w:num>
  <w:num w:numId="13">
    <w:abstractNumId w:val="21"/>
  </w:num>
  <w:num w:numId="14">
    <w:abstractNumId w:val="14"/>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28"/>
  </w:num>
  <w:num w:numId="22">
    <w:abstractNumId w:val="17"/>
  </w:num>
  <w:num w:numId="23">
    <w:abstractNumId w:val="30"/>
  </w:num>
  <w:num w:numId="24">
    <w:abstractNumId w:val="29"/>
  </w:num>
  <w:num w:numId="25">
    <w:abstractNumId w:val="8"/>
  </w:num>
  <w:num w:numId="26">
    <w:abstractNumId w:val="36"/>
  </w:num>
  <w:num w:numId="27">
    <w:abstractNumId w:val="23"/>
  </w:num>
  <w:num w:numId="28">
    <w:abstractNumId w:val="32"/>
  </w:num>
  <w:num w:numId="29">
    <w:abstractNumId w:val="24"/>
  </w:num>
  <w:num w:numId="30">
    <w:abstractNumId w:val="6"/>
  </w:num>
  <w:num w:numId="31">
    <w:abstractNumId w:val="7"/>
  </w:num>
  <w:num w:numId="32">
    <w:abstractNumId w:val="37"/>
  </w:num>
  <w:num w:numId="33">
    <w:abstractNumId w:val="15"/>
  </w:num>
  <w:num w:numId="34">
    <w:abstractNumId w:val="34"/>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2"/>
  </w:num>
  <w:num w:numId="38">
    <w:abstractNumId w:val="31"/>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20F1"/>
    <w:rsid w:val="000246AA"/>
    <w:rsid w:val="000273A5"/>
    <w:rsid w:val="00064723"/>
    <w:rsid w:val="00066DB9"/>
    <w:rsid w:val="0007717B"/>
    <w:rsid w:val="00093919"/>
    <w:rsid w:val="000A325F"/>
    <w:rsid w:val="000D4C21"/>
    <w:rsid w:val="000F0958"/>
    <w:rsid w:val="000F1149"/>
    <w:rsid w:val="00102B29"/>
    <w:rsid w:val="0011663A"/>
    <w:rsid w:val="00123A71"/>
    <w:rsid w:val="00131767"/>
    <w:rsid w:val="00137581"/>
    <w:rsid w:val="00165709"/>
    <w:rsid w:val="0017186F"/>
    <w:rsid w:val="00182E3B"/>
    <w:rsid w:val="001A5B25"/>
    <w:rsid w:val="001B07D2"/>
    <w:rsid w:val="001E405E"/>
    <w:rsid w:val="00204DC6"/>
    <w:rsid w:val="00206DAA"/>
    <w:rsid w:val="002073E8"/>
    <w:rsid w:val="002239D2"/>
    <w:rsid w:val="0023086A"/>
    <w:rsid w:val="00255651"/>
    <w:rsid w:val="00255951"/>
    <w:rsid w:val="002576D0"/>
    <w:rsid w:val="00270080"/>
    <w:rsid w:val="00271853"/>
    <w:rsid w:val="00293295"/>
    <w:rsid w:val="002F149C"/>
    <w:rsid w:val="002F6818"/>
    <w:rsid w:val="003077CE"/>
    <w:rsid w:val="00337559"/>
    <w:rsid w:val="00342EAA"/>
    <w:rsid w:val="00352F38"/>
    <w:rsid w:val="00385241"/>
    <w:rsid w:val="00390393"/>
    <w:rsid w:val="003C16A2"/>
    <w:rsid w:val="003D0C50"/>
    <w:rsid w:val="003D7642"/>
    <w:rsid w:val="003E5C42"/>
    <w:rsid w:val="003F24E0"/>
    <w:rsid w:val="003F788C"/>
    <w:rsid w:val="00410948"/>
    <w:rsid w:val="004142EA"/>
    <w:rsid w:val="004330C8"/>
    <w:rsid w:val="004362B9"/>
    <w:rsid w:val="00442A6C"/>
    <w:rsid w:val="00453426"/>
    <w:rsid w:val="00454668"/>
    <w:rsid w:val="00485474"/>
    <w:rsid w:val="004A4900"/>
    <w:rsid w:val="004A6CFF"/>
    <w:rsid w:val="004B2A5D"/>
    <w:rsid w:val="004B6D81"/>
    <w:rsid w:val="004C67B9"/>
    <w:rsid w:val="004D4762"/>
    <w:rsid w:val="004F2CCF"/>
    <w:rsid w:val="00501F06"/>
    <w:rsid w:val="00503BC3"/>
    <w:rsid w:val="00513ECF"/>
    <w:rsid w:val="005165B2"/>
    <w:rsid w:val="0053040D"/>
    <w:rsid w:val="00555BBD"/>
    <w:rsid w:val="00573FB0"/>
    <w:rsid w:val="00584F65"/>
    <w:rsid w:val="005D43FF"/>
    <w:rsid w:val="006000EA"/>
    <w:rsid w:val="00600215"/>
    <w:rsid w:val="00604C1F"/>
    <w:rsid w:val="0060661F"/>
    <w:rsid w:val="0061494F"/>
    <w:rsid w:val="00617FB9"/>
    <w:rsid w:val="00644F20"/>
    <w:rsid w:val="00660867"/>
    <w:rsid w:val="0068404C"/>
    <w:rsid w:val="00697ADE"/>
    <w:rsid w:val="006A752E"/>
    <w:rsid w:val="006B2ABE"/>
    <w:rsid w:val="006D2D5C"/>
    <w:rsid w:val="006E45E5"/>
    <w:rsid w:val="00704CC3"/>
    <w:rsid w:val="00711D51"/>
    <w:rsid w:val="00732A41"/>
    <w:rsid w:val="007365F9"/>
    <w:rsid w:val="00740A7E"/>
    <w:rsid w:val="00760955"/>
    <w:rsid w:val="007719EC"/>
    <w:rsid w:val="00783652"/>
    <w:rsid w:val="0079133A"/>
    <w:rsid w:val="00796DCD"/>
    <w:rsid w:val="007973CE"/>
    <w:rsid w:val="00810B75"/>
    <w:rsid w:val="008120F1"/>
    <w:rsid w:val="00833CDA"/>
    <w:rsid w:val="0084094E"/>
    <w:rsid w:val="00846E7B"/>
    <w:rsid w:val="00854B85"/>
    <w:rsid w:val="00876E74"/>
    <w:rsid w:val="008B5943"/>
    <w:rsid w:val="008C074D"/>
    <w:rsid w:val="008D695F"/>
    <w:rsid w:val="008E69EB"/>
    <w:rsid w:val="0091767E"/>
    <w:rsid w:val="009267AA"/>
    <w:rsid w:val="009441C9"/>
    <w:rsid w:val="00952F78"/>
    <w:rsid w:val="00957D4A"/>
    <w:rsid w:val="00960D1C"/>
    <w:rsid w:val="00993895"/>
    <w:rsid w:val="00993E92"/>
    <w:rsid w:val="009D2A05"/>
    <w:rsid w:val="009E64B6"/>
    <w:rsid w:val="009F1750"/>
    <w:rsid w:val="009F687C"/>
    <w:rsid w:val="00A01B75"/>
    <w:rsid w:val="00A121FE"/>
    <w:rsid w:val="00A22149"/>
    <w:rsid w:val="00A31A24"/>
    <w:rsid w:val="00A31BE1"/>
    <w:rsid w:val="00A431DB"/>
    <w:rsid w:val="00A46416"/>
    <w:rsid w:val="00A56EC3"/>
    <w:rsid w:val="00A575D9"/>
    <w:rsid w:val="00A65179"/>
    <w:rsid w:val="00A91C94"/>
    <w:rsid w:val="00A95D53"/>
    <w:rsid w:val="00AA283D"/>
    <w:rsid w:val="00AB4A00"/>
    <w:rsid w:val="00AD16CB"/>
    <w:rsid w:val="00B06EEF"/>
    <w:rsid w:val="00B16336"/>
    <w:rsid w:val="00B164D0"/>
    <w:rsid w:val="00B233DB"/>
    <w:rsid w:val="00B25937"/>
    <w:rsid w:val="00B509AD"/>
    <w:rsid w:val="00B63FFF"/>
    <w:rsid w:val="00B75FA6"/>
    <w:rsid w:val="00B76C9E"/>
    <w:rsid w:val="00B87138"/>
    <w:rsid w:val="00BA49E3"/>
    <w:rsid w:val="00BA5A50"/>
    <w:rsid w:val="00BB00A3"/>
    <w:rsid w:val="00BD04D2"/>
    <w:rsid w:val="00BD59D7"/>
    <w:rsid w:val="00BE6A0F"/>
    <w:rsid w:val="00BF6B61"/>
    <w:rsid w:val="00C07D4F"/>
    <w:rsid w:val="00C16B25"/>
    <w:rsid w:val="00C31515"/>
    <w:rsid w:val="00C40EB2"/>
    <w:rsid w:val="00C44C18"/>
    <w:rsid w:val="00C50C7D"/>
    <w:rsid w:val="00C55F48"/>
    <w:rsid w:val="00C56C50"/>
    <w:rsid w:val="00C65200"/>
    <w:rsid w:val="00C76A74"/>
    <w:rsid w:val="00C81717"/>
    <w:rsid w:val="00C9518C"/>
    <w:rsid w:val="00C97E1F"/>
    <w:rsid w:val="00CA5599"/>
    <w:rsid w:val="00CC192A"/>
    <w:rsid w:val="00CE6C5C"/>
    <w:rsid w:val="00CF1620"/>
    <w:rsid w:val="00D02FE4"/>
    <w:rsid w:val="00D13F3D"/>
    <w:rsid w:val="00D420C4"/>
    <w:rsid w:val="00D82304"/>
    <w:rsid w:val="00D82B3C"/>
    <w:rsid w:val="00D969AC"/>
    <w:rsid w:val="00D97A70"/>
    <w:rsid w:val="00DA59B5"/>
    <w:rsid w:val="00DD5347"/>
    <w:rsid w:val="00E16875"/>
    <w:rsid w:val="00E179C0"/>
    <w:rsid w:val="00E31E68"/>
    <w:rsid w:val="00E329D3"/>
    <w:rsid w:val="00E63193"/>
    <w:rsid w:val="00E702E9"/>
    <w:rsid w:val="00E74008"/>
    <w:rsid w:val="00E756DC"/>
    <w:rsid w:val="00E9530A"/>
    <w:rsid w:val="00E96A14"/>
    <w:rsid w:val="00EB3BAD"/>
    <w:rsid w:val="00EE3755"/>
    <w:rsid w:val="00F1794F"/>
    <w:rsid w:val="00F20549"/>
    <w:rsid w:val="00F217C2"/>
    <w:rsid w:val="00F277DD"/>
    <w:rsid w:val="00F376ED"/>
    <w:rsid w:val="00F41F3C"/>
    <w:rsid w:val="00F53677"/>
    <w:rsid w:val="00F634C0"/>
    <w:rsid w:val="00F667F1"/>
    <w:rsid w:val="00F74EFE"/>
    <w:rsid w:val="00F95434"/>
    <w:rsid w:val="00F95436"/>
    <w:rsid w:val="00FA4810"/>
    <w:rsid w:val="00FA738C"/>
    <w:rsid w:val="00FB442D"/>
    <w:rsid w:val="00FB4813"/>
    <w:rsid w:val="00FC22BD"/>
    <w:rsid w:val="00FC271B"/>
    <w:rsid w:val="00FC5573"/>
    <w:rsid w:val="00FC635E"/>
    <w:rsid w:val="00FD7236"/>
    <w:rsid w:val="00FE33D1"/>
    <w:rsid w:val="00FE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259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uiPriority w:val="99"/>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Название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character" w:customStyle="1" w:styleId="ad">
    <w:name w:val="Без интервала Знак"/>
    <w:link w:val="ac"/>
    <w:uiPriority w:val="1"/>
    <w:locked/>
    <w:rsid w:val="000A325F"/>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uiPriority w:val="99"/>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nhideWhenUsed/>
    <w:rsid w:val="00E63193"/>
    <w:pPr>
      <w:spacing w:before="100" w:beforeAutospacing="1" w:after="100" w:afterAutospacing="1"/>
    </w:pPr>
  </w:style>
  <w:style w:type="paragraph" w:styleId="af">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styleId="af0">
    <w:name w:val="Hyperlink"/>
    <w:uiPriority w:val="99"/>
    <w:rsid w:val="00E63193"/>
    <w:rPr>
      <w:color w:val="0000FF"/>
      <w:u w:val="single"/>
    </w:rPr>
  </w:style>
  <w:style w:type="character" w:customStyle="1" w:styleId="apple-style-span">
    <w:name w:val="apple-style-span"/>
    <w:basedOn w:val="a0"/>
    <w:rsid w:val="00E63193"/>
  </w:style>
  <w:style w:type="character" w:styleId="af1">
    <w:name w:val="Strong"/>
    <w:uiPriority w:val="22"/>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41">
    <w:name w:val="Основной текст (4)_"/>
    <w:link w:val="42"/>
    <w:uiPriority w:val="99"/>
    <w:locked/>
    <w:rsid w:val="000A325F"/>
    <w:rPr>
      <w:rFonts w:ascii="Times New Roman" w:hAnsi="Times New Roman" w:cs="Times New Roman"/>
      <w:sz w:val="27"/>
      <w:szCs w:val="27"/>
      <w:shd w:val="clear" w:color="auto" w:fill="FFFFFF"/>
    </w:rPr>
  </w:style>
  <w:style w:type="paragraph" w:customStyle="1" w:styleId="42">
    <w:name w:val="Основной текст (4)"/>
    <w:basedOn w:val="a"/>
    <w:link w:val="41"/>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character" w:styleId="afd">
    <w:name w:val="Emphasis"/>
    <w:qFormat/>
    <w:rsid w:val="00D82304"/>
    <w:rPr>
      <w:i/>
      <w:iCs/>
    </w:rPr>
  </w:style>
  <w:style w:type="character" w:customStyle="1" w:styleId="FontStyle39">
    <w:name w:val="Font Style39"/>
    <w:basedOn w:val="a0"/>
    <w:uiPriority w:val="99"/>
    <w:rsid w:val="00D82304"/>
    <w:rPr>
      <w:rFonts w:ascii="Times New Roman" w:hAnsi="Times New Roman" w:cs="Times New Roman"/>
      <w:sz w:val="22"/>
      <w:szCs w:val="22"/>
    </w:rPr>
  </w:style>
  <w:style w:type="paragraph" w:customStyle="1" w:styleId="msonospacing0">
    <w:name w:val="msonospacing"/>
    <w:basedOn w:val="a"/>
    <w:rsid w:val="00D82304"/>
    <w:pPr>
      <w:spacing w:before="100" w:beforeAutospacing="1" w:after="100" w:afterAutospacing="1"/>
    </w:pPr>
    <w:rPr>
      <w:rFonts w:eastAsia="Calibri"/>
    </w:rPr>
  </w:style>
  <w:style w:type="character" w:customStyle="1" w:styleId="hyperlink">
    <w:name w:val="hyperlink"/>
    <w:basedOn w:val="a0"/>
    <w:rsid w:val="00D82304"/>
  </w:style>
  <w:style w:type="paragraph" w:customStyle="1" w:styleId="table0">
    <w:name w:val="table0"/>
    <w:basedOn w:val="a"/>
    <w:rsid w:val="00D82304"/>
    <w:pPr>
      <w:spacing w:before="100" w:beforeAutospacing="1" w:after="100" w:afterAutospacing="1"/>
    </w:pPr>
  </w:style>
  <w:style w:type="paragraph" w:customStyle="1" w:styleId="table">
    <w:name w:val="table"/>
    <w:basedOn w:val="a"/>
    <w:rsid w:val="00D82304"/>
    <w:pPr>
      <w:spacing w:before="100" w:beforeAutospacing="1" w:after="100" w:afterAutospacing="1"/>
    </w:pPr>
  </w:style>
  <w:style w:type="paragraph" w:customStyle="1" w:styleId="Default">
    <w:name w:val="Default"/>
    <w:rsid w:val="009267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harStyle7">
    <w:name w:val="Char Style 7"/>
    <w:link w:val="Style6"/>
    <w:uiPriority w:val="99"/>
    <w:rsid w:val="009267AA"/>
    <w:rPr>
      <w:sz w:val="17"/>
      <w:szCs w:val="17"/>
      <w:shd w:val="clear" w:color="auto" w:fill="FFFFFF"/>
    </w:rPr>
  </w:style>
  <w:style w:type="paragraph" w:customStyle="1" w:styleId="Style6">
    <w:name w:val="Style 6"/>
    <w:basedOn w:val="a"/>
    <w:link w:val="CharStyle7"/>
    <w:uiPriority w:val="99"/>
    <w:rsid w:val="009267AA"/>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paragraph" w:customStyle="1" w:styleId="15">
    <w:name w:val="Без интервала1"/>
    <w:uiPriority w:val="99"/>
    <w:qFormat/>
    <w:rsid w:val="009267AA"/>
    <w:pPr>
      <w:spacing w:after="0" w:line="240" w:lineRule="auto"/>
    </w:pPr>
    <w:rPr>
      <w:rFonts w:ascii="Calibri" w:eastAsia="Calibri" w:hAnsi="Calibri" w:cs="Calibri"/>
    </w:rPr>
  </w:style>
  <w:style w:type="paragraph" w:styleId="22">
    <w:name w:val="Body Text 2"/>
    <w:basedOn w:val="a"/>
    <w:link w:val="23"/>
    <w:rsid w:val="00B76C9E"/>
    <w:pPr>
      <w:spacing w:after="120" w:line="480" w:lineRule="auto"/>
    </w:pPr>
    <w:rPr>
      <w:sz w:val="20"/>
      <w:szCs w:val="20"/>
    </w:rPr>
  </w:style>
  <w:style w:type="character" w:customStyle="1" w:styleId="23">
    <w:name w:val="Основной текст 2 Знак"/>
    <w:basedOn w:val="a0"/>
    <w:link w:val="22"/>
    <w:rsid w:val="00B76C9E"/>
    <w:rPr>
      <w:rFonts w:ascii="Times New Roman" w:eastAsia="Times New Roman" w:hAnsi="Times New Roman" w:cs="Times New Roman"/>
      <w:sz w:val="20"/>
      <w:szCs w:val="20"/>
      <w:lang w:eastAsia="ru-RU"/>
    </w:rPr>
  </w:style>
  <w:style w:type="paragraph" w:customStyle="1" w:styleId="s1">
    <w:name w:val="s_1"/>
    <w:basedOn w:val="a"/>
    <w:rsid w:val="00B76C9E"/>
    <w:pPr>
      <w:spacing w:before="100" w:beforeAutospacing="1" w:after="100" w:afterAutospacing="1"/>
    </w:pPr>
  </w:style>
  <w:style w:type="paragraph" w:customStyle="1" w:styleId="afe">
    <w:name w:val="a"/>
    <w:basedOn w:val="a"/>
    <w:rsid w:val="00E74008"/>
    <w:pPr>
      <w:spacing w:before="100" w:beforeAutospacing="1" w:after="100" w:afterAutospacing="1"/>
    </w:pPr>
  </w:style>
  <w:style w:type="paragraph" w:customStyle="1" w:styleId="b-big">
    <w:name w:val="b-big"/>
    <w:basedOn w:val="a"/>
    <w:rsid w:val="00E74008"/>
    <w:pPr>
      <w:spacing w:before="100" w:beforeAutospacing="1" w:after="100" w:afterAutospacing="1"/>
    </w:pPr>
  </w:style>
  <w:style w:type="character" w:customStyle="1" w:styleId="FontStyle34">
    <w:name w:val="Font Style34"/>
    <w:rsid w:val="00B233DB"/>
    <w:rPr>
      <w:rFonts w:ascii="Times New Roman" w:hAnsi="Times New Roman" w:cs="Times New Roman" w:hint="default"/>
      <w:sz w:val="22"/>
      <w:szCs w:val="22"/>
    </w:rPr>
  </w:style>
  <w:style w:type="paragraph" w:styleId="31">
    <w:name w:val="Body Text 3"/>
    <w:basedOn w:val="a"/>
    <w:link w:val="32"/>
    <w:uiPriority w:val="99"/>
    <w:semiHidden/>
    <w:unhideWhenUsed/>
    <w:rsid w:val="00B233DB"/>
    <w:pPr>
      <w:spacing w:after="120"/>
    </w:pPr>
    <w:rPr>
      <w:sz w:val="16"/>
      <w:szCs w:val="16"/>
    </w:rPr>
  </w:style>
  <w:style w:type="character" w:customStyle="1" w:styleId="32">
    <w:name w:val="Основной текст 3 Знак"/>
    <w:basedOn w:val="a0"/>
    <w:link w:val="31"/>
    <w:uiPriority w:val="99"/>
    <w:semiHidden/>
    <w:rsid w:val="00B233DB"/>
    <w:rPr>
      <w:rFonts w:ascii="Times New Roman" w:eastAsia="Times New Roman" w:hAnsi="Times New Roman" w:cs="Times New Roman"/>
      <w:sz w:val="16"/>
      <w:szCs w:val="16"/>
      <w:lang w:eastAsia="ru-RU"/>
    </w:rPr>
  </w:style>
  <w:style w:type="paragraph" w:customStyle="1" w:styleId="ConsTitle">
    <w:name w:val="ConsTitle"/>
    <w:rsid w:val="005D43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titlemain">
    <w:name w:val="titlemain"/>
    <w:basedOn w:val="a0"/>
    <w:rsid w:val="00EB3BAD"/>
  </w:style>
  <w:style w:type="character" w:customStyle="1" w:styleId="titlemain2">
    <w:name w:val="titlemain2"/>
    <w:basedOn w:val="a0"/>
    <w:rsid w:val="00EB3BAD"/>
  </w:style>
  <w:style w:type="character" w:customStyle="1" w:styleId="40">
    <w:name w:val="Заголовок 4 Знак"/>
    <w:basedOn w:val="a0"/>
    <w:link w:val="4"/>
    <w:uiPriority w:val="9"/>
    <w:semiHidden/>
    <w:rsid w:val="00B25937"/>
    <w:rPr>
      <w:rFonts w:asciiTheme="majorHAnsi" w:eastAsiaTheme="majorEastAsia" w:hAnsiTheme="majorHAnsi" w:cstheme="majorBidi"/>
      <w:b/>
      <w:bCs/>
      <w:i/>
      <w:iCs/>
      <w:color w:val="4F81BD" w:themeColor="accent1"/>
      <w:sz w:val="24"/>
      <w:szCs w:val="24"/>
      <w:lang w:eastAsia="ru-RU"/>
    </w:rPr>
  </w:style>
  <w:style w:type="paragraph" w:customStyle="1" w:styleId="200">
    <w:name w:val="200"/>
    <w:basedOn w:val="a"/>
    <w:rsid w:val="00C16B25"/>
    <w:pPr>
      <w:spacing w:before="100" w:beforeAutospacing="1" w:after="100" w:afterAutospacing="1"/>
    </w:pPr>
  </w:style>
  <w:style w:type="paragraph" w:styleId="aff">
    <w:name w:val="footnote text"/>
    <w:basedOn w:val="a"/>
    <w:link w:val="aff0"/>
    <w:semiHidden/>
    <w:unhideWhenUsed/>
    <w:rsid w:val="00C16B25"/>
    <w:rPr>
      <w:sz w:val="20"/>
      <w:szCs w:val="20"/>
    </w:rPr>
  </w:style>
  <w:style w:type="character" w:customStyle="1" w:styleId="aff0">
    <w:name w:val="Текст сноски Знак"/>
    <w:basedOn w:val="a0"/>
    <w:link w:val="aff"/>
    <w:semiHidden/>
    <w:rsid w:val="00C16B25"/>
    <w:rPr>
      <w:rFonts w:ascii="Times New Roman" w:eastAsia="Times New Roman" w:hAnsi="Times New Roman" w:cs="Times New Roman"/>
      <w:sz w:val="20"/>
      <w:szCs w:val="20"/>
      <w:lang w:eastAsia="ru-RU"/>
    </w:rPr>
  </w:style>
  <w:style w:type="character" w:styleId="aff1">
    <w:name w:val="footnote reference"/>
    <w:basedOn w:val="a0"/>
    <w:semiHidden/>
    <w:unhideWhenUsed/>
    <w:rsid w:val="00C16B25"/>
    <w:rPr>
      <w:vertAlign w:val="superscript"/>
    </w:rPr>
  </w:style>
  <w:style w:type="paragraph" w:customStyle="1" w:styleId="style4">
    <w:name w:val="style4"/>
    <w:basedOn w:val="a"/>
    <w:rsid w:val="00C40EB2"/>
    <w:pPr>
      <w:spacing w:before="100" w:beforeAutospacing="1" w:after="100" w:afterAutospacing="1"/>
    </w:pPr>
  </w:style>
  <w:style w:type="character" w:customStyle="1" w:styleId="fontstyle12">
    <w:name w:val="fontstyle12"/>
    <w:basedOn w:val="a0"/>
    <w:rsid w:val="00C40EB2"/>
  </w:style>
  <w:style w:type="paragraph" w:customStyle="1" w:styleId="style5">
    <w:name w:val="style5"/>
    <w:basedOn w:val="a"/>
    <w:rsid w:val="00C40EB2"/>
    <w:pPr>
      <w:spacing w:before="100" w:beforeAutospacing="1" w:after="100" w:afterAutospacing="1"/>
    </w:pPr>
  </w:style>
  <w:style w:type="character" w:customStyle="1" w:styleId="cnsl">
    <w:name w:val="cnsl"/>
    <w:basedOn w:val="a0"/>
    <w:rsid w:val="00F20549"/>
  </w:style>
</w:styles>
</file>

<file path=word/webSettings.xml><?xml version="1.0" encoding="utf-8"?>
<w:webSettings xmlns:r="http://schemas.openxmlformats.org/officeDocument/2006/relationships" xmlns:w="http://schemas.openxmlformats.org/wordprocessingml/2006/main">
  <w:divs>
    <w:div w:id="285816972">
      <w:bodyDiv w:val="1"/>
      <w:marLeft w:val="0"/>
      <w:marRight w:val="0"/>
      <w:marTop w:val="0"/>
      <w:marBottom w:val="0"/>
      <w:divBdr>
        <w:top w:val="none" w:sz="0" w:space="0" w:color="auto"/>
        <w:left w:val="none" w:sz="0" w:space="0" w:color="auto"/>
        <w:bottom w:val="none" w:sz="0" w:space="0" w:color="auto"/>
        <w:right w:val="none" w:sz="0" w:space="0" w:color="auto"/>
      </w:divBdr>
      <w:divsChild>
        <w:div w:id="1602684882">
          <w:marLeft w:val="0"/>
          <w:marRight w:val="0"/>
          <w:marTop w:val="0"/>
          <w:marBottom w:val="120"/>
          <w:divBdr>
            <w:top w:val="none" w:sz="0" w:space="0" w:color="auto"/>
            <w:left w:val="none" w:sz="0" w:space="0" w:color="auto"/>
            <w:bottom w:val="none" w:sz="0" w:space="0" w:color="auto"/>
            <w:right w:val="none" w:sz="0" w:space="0" w:color="auto"/>
          </w:divBdr>
        </w:div>
      </w:divsChild>
    </w:div>
    <w:div w:id="300692559">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 w:id="1572764703">
      <w:bodyDiv w:val="1"/>
      <w:marLeft w:val="0"/>
      <w:marRight w:val="0"/>
      <w:marTop w:val="0"/>
      <w:marBottom w:val="0"/>
      <w:divBdr>
        <w:top w:val="none" w:sz="0" w:space="0" w:color="auto"/>
        <w:left w:val="none" w:sz="0" w:space="0" w:color="auto"/>
        <w:bottom w:val="none" w:sz="0" w:space="0" w:color="auto"/>
        <w:right w:val="none" w:sz="0" w:space="0" w:color="auto"/>
      </w:divBdr>
    </w:div>
    <w:div w:id="15830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251C6-9508-4B68-A846-F83DC412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2138</Words>
  <Characters>12191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106</cp:revision>
  <cp:lastPrinted>2020-12-29T05:25:00Z</cp:lastPrinted>
  <dcterms:created xsi:type="dcterms:W3CDTF">2017-07-17T06:39:00Z</dcterms:created>
  <dcterms:modified xsi:type="dcterms:W3CDTF">2020-12-29T05:26:00Z</dcterms:modified>
</cp:coreProperties>
</file>