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F75C6" w:rsidRPr="00926759" w:rsidRDefault="008F75C6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F75C6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8F75C6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176B0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A23C4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76B0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7554B7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.10.2022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Default="008120F1" w:rsidP="008F75C6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176B09" w:rsidRDefault="00176B09" w:rsidP="008F75C6">
      <w:pPr>
        <w:jc w:val="center"/>
        <w:rPr>
          <w:b/>
        </w:rPr>
      </w:pPr>
    </w:p>
    <w:p w:rsidR="00367C16" w:rsidRDefault="00367C16" w:rsidP="008F75C6">
      <w:pPr>
        <w:jc w:val="center"/>
        <w:rPr>
          <w:b/>
        </w:rPr>
      </w:pPr>
    </w:p>
    <w:p w:rsidR="00176B09" w:rsidRPr="00176B09" w:rsidRDefault="00176B09" w:rsidP="00176B09">
      <w:pPr>
        <w:ind w:left="-567"/>
        <w:contextualSpacing/>
        <w:jc w:val="center"/>
        <w:rPr>
          <w:b/>
          <w:sz w:val="28"/>
          <w:szCs w:val="28"/>
        </w:rPr>
      </w:pPr>
      <w:r w:rsidRPr="00176B09">
        <w:rPr>
          <w:rFonts w:eastAsia="Calibri"/>
          <w:b/>
          <w:sz w:val="28"/>
          <w:szCs w:val="28"/>
          <w:lang w:eastAsia="en-US"/>
        </w:rPr>
        <w:t xml:space="preserve">О порядке получения компенсации </w:t>
      </w:r>
      <w:r w:rsidRPr="00176B09">
        <w:rPr>
          <w:b/>
          <w:sz w:val="28"/>
          <w:szCs w:val="28"/>
        </w:rPr>
        <w:t>за самостоятельно приобретенное инвалидом техническое средство реабилитации и (или) оказанную услугу</w:t>
      </w:r>
    </w:p>
    <w:p w:rsidR="00176B09" w:rsidRPr="00176B09" w:rsidRDefault="00176B09" w:rsidP="00176B09">
      <w:pPr>
        <w:ind w:left="-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rFonts w:eastAsia="Calibri"/>
          <w:sz w:val="28"/>
          <w:szCs w:val="28"/>
          <w:lang w:eastAsia="en-US"/>
        </w:rPr>
        <w:t xml:space="preserve">В соответствии с ч. 3 ст.9 </w:t>
      </w:r>
      <w:r w:rsidRPr="00176B09">
        <w:rPr>
          <w:sz w:val="28"/>
          <w:szCs w:val="28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176B09">
        <w:rPr>
          <w:sz w:val="28"/>
          <w:szCs w:val="28"/>
        </w:rPr>
        <w:t>абилитации</w:t>
      </w:r>
      <w:proofErr w:type="spellEnd"/>
      <w:r w:rsidRPr="00176B09">
        <w:rPr>
          <w:sz w:val="28"/>
          <w:szCs w:val="28"/>
        </w:rPr>
        <w:t xml:space="preserve"> инвалидов предусматривает использование инвалидами технических средств реабилитации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rFonts w:eastAsia="Calibri"/>
          <w:sz w:val="28"/>
          <w:szCs w:val="28"/>
          <w:lang w:eastAsia="en-US"/>
        </w:rPr>
        <w:t xml:space="preserve">На основании ч. 6 ст. 11 </w:t>
      </w:r>
      <w:r w:rsidRPr="00176B09">
        <w:rPr>
          <w:sz w:val="28"/>
          <w:szCs w:val="28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176B09">
        <w:rPr>
          <w:sz w:val="28"/>
          <w:szCs w:val="28"/>
        </w:rPr>
        <w:t>абилитации</w:t>
      </w:r>
      <w:proofErr w:type="spellEnd"/>
      <w:r w:rsidRPr="00176B09">
        <w:rPr>
          <w:sz w:val="28"/>
          <w:szCs w:val="28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услуги. 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</w:t>
      </w:r>
      <w:proofErr w:type="spellStart"/>
      <w:r w:rsidRPr="00176B09">
        <w:rPr>
          <w:sz w:val="28"/>
          <w:szCs w:val="28"/>
        </w:rPr>
        <w:t>Минздравсоцразвития</w:t>
      </w:r>
      <w:proofErr w:type="spellEnd"/>
      <w:r w:rsidRPr="00176B09">
        <w:rPr>
          <w:sz w:val="28"/>
          <w:szCs w:val="28"/>
        </w:rPr>
        <w:t xml:space="preserve"> России от 31.01.2011 № 57н (далее – Порядок). 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176B09">
        <w:rPr>
          <w:sz w:val="28"/>
          <w:szCs w:val="28"/>
        </w:rPr>
        <w:t>абилитации</w:t>
      </w:r>
      <w:proofErr w:type="spellEnd"/>
      <w:r w:rsidRPr="00176B09">
        <w:rPr>
          <w:sz w:val="28"/>
          <w:szCs w:val="28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176B09">
        <w:rPr>
          <w:sz w:val="28"/>
          <w:szCs w:val="28"/>
        </w:rPr>
        <w:t>абилитации</w:t>
      </w:r>
      <w:proofErr w:type="spellEnd"/>
      <w:r w:rsidRPr="00176B09">
        <w:rPr>
          <w:sz w:val="28"/>
          <w:szCs w:val="28"/>
        </w:rPr>
        <w:t xml:space="preserve">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lastRenderedPageBreak/>
        <w:t xml:space="preserve"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услуги. 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Согласно п. 5 Порядка компенсация инвалиду выплачивается на основании заявления инвалида либо лица, представляющего его интересы, о возмещении расходов по приобретению технического средства реабилитации и (или) оказанию услуги, 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б) документа, подтверждающего место жительства (место пребывания или фактического проживания);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в) заключения медико-технической экспертизы.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организации».</w:t>
      </w:r>
    </w:p>
    <w:p w:rsidR="00176B09" w:rsidRPr="00176B09" w:rsidRDefault="00176B09" w:rsidP="00176B09">
      <w:pPr>
        <w:spacing w:line="240" w:lineRule="exact"/>
        <w:ind w:left="-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6B09" w:rsidRPr="00176B09" w:rsidRDefault="00176B09" w:rsidP="00176B09">
      <w:pPr>
        <w:spacing w:line="240" w:lineRule="exact"/>
        <w:ind w:left="-567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76B09" w:rsidRDefault="00176B09" w:rsidP="00176B09">
      <w:pPr>
        <w:ind w:left="317"/>
        <w:jc w:val="right"/>
        <w:rPr>
          <w:rFonts w:eastAsia="Calibri"/>
          <w:sz w:val="28"/>
          <w:szCs w:val="28"/>
          <w:lang w:eastAsia="en-US"/>
        </w:rPr>
      </w:pPr>
      <w:r w:rsidRPr="007215CF">
        <w:rPr>
          <w:rFonts w:eastAsia="Calibri"/>
          <w:sz w:val="28"/>
          <w:szCs w:val="28"/>
          <w:lang w:eastAsia="en-US"/>
        </w:rPr>
        <w:t>Прокурор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младш</w:t>
      </w:r>
      <w:r>
        <w:rPr>
          <w:rFonts w:eastAsia="Calibri"/>
          <w:sz w:val="28"/>
          <w:szCs w:val="28"/>
          <w:lang w:eastAsia="en-US"/>
        </w:rPr>
        <w:t>ий</w:t>
      </w:r>
      <w:r w:rsidRPr="007215CF">
        <w:rPr>
          <w:rFonts w:eastAsia="Calibri"/>
          <w:sz w:val="28"/>
          <w:szCs w:val="28"/>
          <w:lang w:eastAsia="en-US"/>
        </w:rPr>
        <w:t xml:space="preserve"> советник юстиции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Азизов В.Э.</w:t>
      </w:r>
    </w:p>
    <w:p w:rsidR="00176B09" w:rsidRPr="007215CF" w:rsidRDefault="00176B09" w:rsidP="00176B09">
      <w:pPr>
        <w:ind w:left="317"/>
        <w:jc w:val="right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spacing w:line="240" w:lineRule="exact"/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ind w:left="-567"/>
        <w:jc w:val="center"/>
        <w:rPr>
          <w:b/>
          <w:sz w:val="28"/>
          <w:szCs w:val="28"/>
        </w:rPr>
      </w:pPr>
      <w:r w:rsidRPr="00176B09">
        <w:rPr>
          <w:rFonts w:eastAsia="Calibri"/>
          <w:b/>
          <w:sz w:val="28"/>
          <w:szCs w:val="28"/>
          <w:lang w:eastAsia="en-US"/>
        </w:rPr>
        <w:t xml:space="preserve">О порядке предоставления инвалиду </w:t>
      </w:r>
      <w:r w:rsidRPr="00176B09">
        <w:rPr>
          <w:b/>
          <w:sz w:val="28"/>
          <w:szCs w:val="28"/>
        </w:rPr>
        <w:t>путевки на санаторно-курортное лечение</w:t>
      </w:r>
    </w:p>
    <w:p w:rsidR="00176B09" w:rsidRPr="00176B09" w:rsidRDefault="00176B09" w:rsidP="00176B09">
      <w:pPr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На основании п. 1.1 ч. 1 ст. 6.2 Федерального закона от 17.07.1999 №178-ФЗ «О государственной социальной помощи» предоставление при наличии медицинских показаний путевки на санаторно-курортное лечение, осуществляемое в целях профилактики основных заболеваний, входит в состав предоставляемого инвалидам набора социальных услуг.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В соответствии с п. 3.6 Порядка предоставления набора социальных услуг отдельным категориям граждан, утвержденного приказом </w:t>
      </w:r>
      <w:proofErr w:type="spellStart"/>
      <w:r w:rsidRPr="00176B09">
        <w:rPr>
          <w:sz w:val="28"/>
          <w:szCs w:val="28"/>
        </w:rPr>
        <w:t>Минздравсоцразвития</w:t>
      </w:r>
      <w:proofErr w:type="spellEnd"/>
      <w:r w:rsidRPr="00176B09">
        <w:rPr>
          <w:sz w:val="28"/>
          <w:szCs w:val="28"/>
        </w:rPr>
        <w:t xml:space="preserve"> России от 29.12.2004 №328,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форме №070/у-04, утвержденной Приказом </w:t>
      </w:r>
      <w:proofErr w:type="spellStart"/>
      <w:r w:rsidRPr="00176B09">
        <w:rPr>
          <w:sz w:val="28"/>
          <w:szCs w:val="28"/>
        </w:rPr>
        <w:t>Минздравсоцразвития</w:t>
      </w:r>
      <w:proofErr w:type="spellEnd"/>
      <w:r w:rsidRPr="00176B09">
        <w:rPr>
          <w:sz w:val="28"/>
          <w:szCs w:val="28"/>
        </w:rPr>
        <w:t xml:space="preserve"> России от 22 ноября 2004 г. № 256.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Согласно п. 3.7 указанного порядка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или органы социальной защиты населения, с которыми территориальный орган Фонда заключил соглашение о совместной работе по </w:t>
      </w:r>
      <w:r w:rsidRPr="00176B09">
        <w:rPr>
          <w:sz w:val="28"/>
          <w:szCs w:val="28"/>
        </w:rPr>
        <w:lastRenderedPageBreak/>
        <w:t>обеспечению граждан путевками на санаторно-курортное лечение,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В заявлении о предоставлении санаторно-курортной путевки указываются: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- 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- 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176B09" w:rsidRPr="00176B09" w:rsidRDefault="00176B09" w:rsidP="00176B09">
      <w:pPr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- наименование и местонахождение лечебно-профилактического учреждения, выдавшего справку для получения путевки по форме N 070/у-04, а также номер справки и дата ее выдачи;</w:t>
      </w:r>
    </w:p>
    <w:p w:rsidR="00176B09" w:rsidRPr="00176B09" w:rsidRDefault="00176B09" w:rsidP="00176B09">
      <w:pPr>
        <w:spacing w:line="240" w:lineRule="atLeast"/>
        <w:ind w:left="-567" w:firstLine="70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- 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176B09" w:rsidRDefault="00176B09" w:rsidP="00176B09">
      <w:pPr>
        <w:spacing w:line="240" w:lineRule="atLeast"/>
        <w:ind w:left="-567" w:firstLine="708"/>
        <w:rPr>
          <w:sz w:val="28"/>
          <w:szCs w:val="28"/>
        </w:rPr>
      </w:pPr>
      <w:r w:rsidRPr="00176B09">
        <w:rPr>
          <w:sz w:val="28"/>
          <w:szCs w:val="28"/>
        </w:rPr>
        <w:t>Предоставление путевок осуществляется в порядке очередности.</w:t>
      </w:r>
    </w:p>
    <w:p w:rsidR="00176B09" w:rsidRPr="00176B09" w:rsidRDefault="00176B09" w:rsidP="00176B09">
      <w:pPr>
        <w:spacing w:line="240" w:lineRule="atLeast"/>
        <w:ind w:left="-567" w:firstLine="708"/>
        <w:rPr>
          <w:sz w:val="28"/>
          <w:szCs w:val="28"/>
        </w:rPr>
      </w:pPr>
    </w:p>
    <w:p w:rsidR="00176B09" w:rsidRPr="00176B09" w:rsidRDefault="00176B09" w:rsidP="00176B09">
      <w:pPr>
        <w:spacing w:line="240" w:lineRule="exact"/>
        <w:ind w:left="-567"/>
        <w:rPr>
          <w:rFonts w:eastAsia="Calibri"/>
          <w:sz w:val="28"/>
          <w:szCs w:val="28"/>
          <w:lang w:eastAsia="en-US"/>
        </w:rPr>
      </w:pPr>
    </w:p>
    <w:p w:rsidR="00176B09" w:rsidRPr="007215CF" w:rsidRDefault="00176B09" w:rsidP="00176B09">
      <w:pPr>
        <w:ind w:left="317"/>
        <w:jc w:val="right"/>
        <w:rPr>
          <w:rFonts w:eastAsia="Calibri"/>
          <w:sz w:val="28"/>
          <w:szCs w:val="28"/>
          <w:lang w:eastAsia="en-US"/>
        </w:rPr>
      </w:pPr>
      <w:r w:rsidRPr="007215CF">
        <w:rPr>
          <w:rFonts w:eastAsia="Calibri"/>
          <w:sz w:val="28"/>
          <w:szCs w:val="28"/>
          <w:lang w:eastAsia="en-US"/>
        </w:rPr>
        <w:t>Прокурор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младш</w:t>
      </w:r>
      <w:r>
        <w:rPr>
          <w:rFonts w:eastAsia="Calibri"/>
          <w:sz w:val="28"/>
          <w:szCs w:val="28"/>
          <w:lang w:eastAsia="en-US"/>
        </w:rPr>
        <w:t>ий</w:t>
      </w:r>
      <w:r w:rsidRPr="007215CF">
        <w:rPr>
          <w:rFonts w:eastAsia="Calibri"/>
          <w:sz w:val="28"/>
          <w:szCs w:val="28"/>
          <w:lang w:eastAsia="en-US"/>
        </w:rPr>
        <w:t xml:space="preserve"> советник юстиции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Азизов В.Э.</w:t>
      </w:r>
    </w:p>
    <w:p w:rsidR="00176B09" w:rsidRPr="00176B09" w:rsidRDefault="00176B09" w:rsidP="00176B09">
      <w:pPr>
        <w:spacing w:line="240" w:lineRule="exact"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spacing w:line="240" w:lineRule="exact"/>
        <w:ind w:left="-567"/>
        <w:rPr>
          <w:sz w:val="28"/>
          <w:szCs w:val="28"/>
        </w:rPr>
      </w:pPr>
    </w:p>
    <w:p w:rsidR="00176B09" w:rsidRPr="00176B09" w:rsidRDefault="00176B09" w:rsidP="00176B09">
      <w:pPr>
        <w:ind w:left="-567"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176B09">
        <w:rPr>
          <w:rFonts w:eastAsia="Calibri"/>
          <w:b/>
          <w:sz w:val="28"/>
          <w:szCs w:val="28"/>
          <w:lang w:eastAsia="en-US"/>
        </w:rPr>
        <w:t>Предоставление социального обслуживания на дому</w:t>
      </w:r>
    </w:p>
    <w:p w:rsidR="00176B09" w:rsidRPr="00176B09" w:rsidRDefault="00176B09" w:rsidP="00176B09">
      <w:pPr>
        <w:ind w:left="-567" w:right="-143"/>
        <w:jc w:val="center"/>
        <w:rPr>
          <w:rFonts w:eastAsia="Calibri"/>
          <w:sz w:val="28"/>
          <w:szCs w:val="28"/>
          <w:lang w:eastAsia="en-US"/>
        </w:rPr>
      </w:pP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rFonts w:eastAsia="Calibri"/>
          <w:sz w:val="28"/>
          <w:szCs w:val="28"/>
          <w:lang w:eastAsia="en-US"/>
        </w:rPr>
        <w:t>В соответствии со ст. 3 Федерального закона от 28.12.2013 № 442-</w:t>
      </w:r>
      <w:proofErr w:type="gramStart"/>
      <w:r w:rsidRPr="00176B09">
        <w:rPr>
          <w:rFonts w:eastAsia="Calibri"/>
          <w:sz w:val="28"/>
          <w:szCs w:val="28"/>
          <w:lang w:eastAsia="en-US"/>
        </w:rPr>
        <w:t>ФЗ  «</w:t>
      </w:r>
      <w:proofErr w:type="gramEnd"/>
      <w:r w:rsidRPr="00176B09">
        <w:rPr>
          <w:rFonts w:eastAsia="Calibri"/>
          <w:sz w:val="28"/>
          <w:szCs w:val="28"/>
          <w:lang w:eastAsia="en-US"/>
        </w:rPr>
        <w:t xml:space="preserve">Об основах социального обслуживания граждан в Российской Федерации»  (далее – Закон) </w:t>
      </w:r>
      <w:r w:rsidRPr="00176B09">
        <w:rPr>
          <w:sz w:val="28"/>
          <w:szCs w:val="28"/>
        </w:rPr>
        <w:t>социальная услуга представляет собой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rFonts w:eastAsia="Calibri"/>
          <w:sz w:val="28"/>
          <w:szCs w:val="28"/>
          <w:lang w:eastAsia="en-US"/>
        </w:rPr>
        <w:t xml:space="preserve">Частью 1 ст. 19 названного Закона предусмотрено, что </w:t>
      </w:r>
      <w:r w:rsidRPr="00176B09">
        <w:rPr>
          <w:sz w:val="28"/>
          <w:szCs w:val="28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Получателями социальных услуг могут являться, в том числе лица, полностью или частично утратившие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(п. 1 ч. 1 ст. 15 Закона).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Получателю социальных услуг, на основании ст. 20 Закона, предоставляются следующие виды социальных услуг в форме социального обслуживания на дому: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1) социально-бытовые, направленные на поддержание жизнедеятельности получателей социальных услуг в быту, </w:t>
      </w:r>
      <w:proofErr w:type="gramStart"/>
      <w:r w:rsidRPr="00176B09">
        <w:rPr>
          <w:sz w:val="28"/>
          <w:szCs w:val="28"/>
        </w:rPr>
        <w:t>например</w:t>
      </w:r>
      <w:proofErr w:type="gramEnd"/>
      <w:r w:rsidRPr="00176B09">
        <w:rPr>
          <w:sz w:val="28"/>
          <w:szCs w:val="28"/>
        </w:rPr>
        <w:t xml:space="preserve"> сдача за счет средств получателя социальных услуг вещей в стирку, химчистку, ремонт, обратная их доставка, организация помощи в проведении ремонта жилых помещений, помощь в приеме пищи; уборка жилых помещений, сопровождение вне дома, в том числе к врачу.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lastRenderedPageBreak/>
        <w:t xml:space="preserve"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здоровья, в частности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доверия, например, социально-психологическое консультирование, в том числе по вопросам внутрисемейных отношений;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4) социально-педагогические, в том числе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организация обучения инвалидов по зрению письму по системе Брайля;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5) социально-трудовые, направленные на оказание помощи в трудоустройстве и в решении других проблем, связанных с трудовой адаптацией, к которым также относятся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услуг, в частности оказание помощи в получении юридических услуг (в том числе консультирование), получение по доверенности пенсий, пособий, других социальных выплат;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например, обучение навыкам самообслуживания, поведения в быту и общественных местах, пользованию объектами социальной инфраструктуры, транспортом, оказание помощи в обучении навыкам компьютерной грамотности;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8) срочные социальные услуги, к которым относятся 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 иные срочные социальные услуги. 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Полный перечень социальных услуг, предоставляемых на территории Новосибирской области, приведен в ст. 4 Закона Новосибирской области от 18.12.2014 № 499-ОЗ «Об отдельных вопросах организации социального обслуживания граждан в Новосибирской области».</w:t>
      </w:r>
    </w:p>
    <w:p w:rsidR="00176B09" w:rsidRPr="00176B09" w:rsidRDefault="00176B09" w:rsidP="00176B09">
      <w:pPr>
        <w:ind w:left="-567" w:right="-143" w:firstLine="540"/>
        <w:jc w:val="both"/>
        <w:rPr>
          <w:sz w:val="28"/>
          <w:szCs w:val="28"/>
        </w:rPr>
      </w:pPr>
      <w:r w:rsidRPr="00176B09">
        <w:rPr>
          <w:sz w:val="28"/>
          <w:szCs w:val="28"/>
        </w:rPr>
        <w:lastRenderedPageBreak/>
        <w:t>Для получения социального обслуживания на дому необходимо лично, либо через представителя в письменной или электронной форме подать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«Об утверждении формы заявления о предоставлении социальных услуг».</w:t>
      </w:r>
    </w:p>
    <w:p w:rsidR="00176B09" w:rsidRPr="00176B09" w:rsidRDefault="00176B09" w:rsidP="00176B09">
      <w:pPr>
        <w:spacing w:line="240" w:lineRule="atLeast"/>
        <w:ind w:left="-567" w:right="-143" w:firstLine="53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>По результатам рассмотрения заявления гражданина в случае принятия решения о предоставлении социального обслуживания составляется индивидуальная программа, с получателем социальных услуг заключается договор о предоставлении социальных услуг в форме социального обслуживания на дому.</w:t>
      </w:r>
    </w:p>
    <w:p w:rsidR="00176B09" w:rsidRPr="00176B09" w:rsidRDefault="00176B09" w:rsidP="00176B09">
      <w:pPr>
        <w:spacing w:line="240" w:lineRule="atLeast"/>
        <w:ind w:left="-567" w:right="-142" w:firstLine="539"/>
        <w:jc w:val="both"/>
        <w:rPr>
          <w:sz w:val="28"/>
          <w:szCs w:val="28"/>
        </w:rPr>
      </w:pPr>
      <w:r w:rsidRPr="00176B09">
        <w:rPr>
          <w:sz w:val="28"/>
          <w:szCs w:val="28"/>
        </w:rPr>
        <w:t xml:space="preserve">Стоимость социальных услуг определяется по тарифам, </w:t>
      </w:r>
      <w:proofErr w:type="gramStart"/>
      <w:r w:rsidRPr="00176B09">
        <w:rPr>
          <w:sz w:val="28"/>
          <w:szCs w:val="28"/>
        </w:rPr>
        <w:t>утверждаемым  департаментом</w:t>
      </w:r>
      <w:proofErr w:type="gramEnd"/>
      <w:r w:rsidRPr="00176B09">
        <w:rPr>
          <w:sz w:val="28"/>
          <w:szCs w:val="28"/>
        </w:rPr>
        <w:t xml:space="preserve"> по тарифам Новосибирской области на основании представленных министерством труда и социального развития Новосибирской области.</w:t>
      </w:r>
    </w:p>
    <w:p w:rsidR="00176B09" w:rsidRPr="00176B09" w:rsidRDefault="00176B09" w:rsidP="00176B09">
      <w:pPr>
        <w:spacing w:line="240" w:lineRule="exact"/>
        <w:ind w:left="-567" w:right="-142"/>
        <w:jc w:val="both"/>
        <w:rPr>
          <w:sz w:val="28"/>
          <w:szCs w:val="28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Pr="007215CF" w:rsidRDefault="00176B09" w:rsidP="00176B09">
      <w:pPr>
        <w:ind w:left="317"/>
        <w:jc w:val="right"/>
        <w:rPr>
          <w:rFonts w:eastAsia="Calibri"/>
          <w:sz w:val="28"/>
          <w:szCs w:val="28"/>
          <w:lang w:eastAsia="en-US"/>
        </w:rPr>
      </w:pPr>
      <w:r w:rsidRPr="007215CF">
        <w:rPr>
          <w:rFonts w:eastAsia="Calibri"/>
          <w:sz w:val="28"/>
          <w:szCs w:val="28"/>
          <w:lang w:eastAsia="en-US"/>
        </w:rPr>
        <w:t>Прокурор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младш</w:t>
      </w:r>
      <w:r>
        <w:rPr>
          <w:rFonts w:eastAsia="Calibri"/>
          <w:sz w:val="28"/>
          <w:szCs w:val="28"/>
          <w:lang w:eastAsia="en-US"/>
        </w:rPr>
        <w:t>ий</w:t>
      </w:r>
      <w:r w:rsidRPr="007215CF">
        <w:rPr>
          <w:rFonts w:eastAsia="Calibri"/>
          <w:sz w:val="28"/>
          <w:szCs w:val="28"/>
          <w:lang w:eastAsia="en-US"/>
        </w:rPr>
        <w:t xml:space="preserve"> советник юстиции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Азизов В.Э.</w:t>
      </w:r>
    </w:p>
    <w:p w:rsidR="007215CF" w:rsidRDefault="007215CF" w:rsidP="00176B09">
      <w:pPr>
        <w:tabs>
          <w:tab w:val="left" w:pos="8490"/>
          <w:tab w:val="left" w:pos="8565"/>
        </w:tabs>
        <w:jc w:val="right"/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  <w:bookmarkStart w:id="0" w:name="_GoBack"/>
      <w:bookmarkEnd w:id="0"/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8120F1" w:rsidRPr="00714612" w:rsidRDefault="008120F1" w:rsidP="008F75C6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8F75C6">
        <w:rPr>
          <w:color w:val="000000"/>
        </w:rPr>
        <w:t>6</w:t>
      </w:r>
      <w:r w:rsidR="00176B09">
        <w:rPr>
          <w:color w:val="000000"/>
        </w:rPr>
        <w:t>3</w:t>
      </w:r>
      <w:r w:rsidR="004F6531">
        <w:rPr>
          <w:color w:val="000000"/>
        </w:rPr>
        <w:t xml:space="preserve"> </w:t>
      </w:r>
      <w:r w:rsidR="006A23C4">
        <w:rPr>
          <w:color w:val="000000"/>
        </w:rPr>
        <w:t>2</w:t>
      </w:r>
      <w:r w:rsidR="00176B09">
        <w:rPr>
          <w:color w:val="000000"/>
        </w:rPr>
        <w:t>6</w:t>
      </w:r>
      <w:r w:rsidR="008C6D7C">
        <w:rPr>
          <w:color w:val="000000"/>
        </w:rPr>
        <w:t>.10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8F75C6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6A23C4">
        <w:rPr>
          <w:color w:val="000000"/>
        </w:rPr>
        <w:t>2</w:t>
      </w:r>
      <w:r w:rsidR="00176B09">
        <w:rPr>
          <w:color w:val="000000"/>
        </w:rPr>
        <w:t>6</w:t>
      </w:r>
      <w:r w:rsidR="008C6D7C">
        <w:rPr>
          <w:color w:val="000000"/>
        </w:rPr>
        <w:t>.10.2022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7215C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8"/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98" w:rsidRDefault="00EE2E98" w:rsidP="00A01B75">
      <w:r>
        <w:separator/>
      </w:r>
    </w:p>
  </w:endnote>
  <w:endnote w:type="continuationSeparator" w:id="0">
    <w:p w:rsidR="00EE2E98" w:rsidRDefault="00EE2E98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98" w:rsidRDefault="00EE2E98" w:rsidP="00A01B75">
      <w:r>
        <w:separator/>
      </w:r>
    </w:p>
  </w:footnote>
  <w:footnote w:type="continuationSeparator" w:id="0">
    <w:p w:rsidR="00EE2E98" w:rsidRDefault="00EE2E98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00A42"/>
    <w:multiLevelType w:val="hybridMultilevel"/>
    <w:tmpl w:val="406CE7F8"/>
    <w:lvl w:ilvl="0" w:tplc="B5340AD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3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2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</w:num>
  <w:num w:numId="9">
    <w:abstractNumId w:val="2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4"/>
  </w:num>
  <w:num w:numId="14">
    <w:abstractNumId w:val="3"/>
  </w:num>
  <w:num w:numId="15">
    <w:abstractNumId w:val="27"/>
  </w:num>
  <w:num w:numId="16">
    <w:abstractNumId w:val="6"/>
  </w:num>
  <w:num w:numId="17">
    <w:abstractNumId w:val="21"/>
  </w:num>
  <w:num w:numId="18">
    <w:abstractNumId w:val="26"/>
  </w:num>
  <w:num w:numId="19">
    <w:abstractNumId w:val="9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7"/>
  </w:num>
  <w:num w:numId="23">
    <w:abstractNumId w:val="15"/>
  </w:num>
  <w:num w:numId="24">
    <w:abstractNumId w:val="18"/>
  </w:num>
  <w:num w:numId="25">
    <w:abstractNumId w:val="14"/>
  </w:num>
  <w:num w:numId="26">
    <w:abstractNumId w:val="10"/>
  </w:num>
  <w:num w:numId="27">
    <w:abstractNumId w:val="19"/>
  </w:num>
  <w:num w:numId="28">
    <w:abstractNumId w:val="20"/>
  </w:num>
  <w:num w:numId="29">
    <w:abstractNumId w:val="4"/>
  </w:num>
  <w:num w:numId="30">
    <w:abstractNumId w:val="35"/>
  </w:num>
  <w:num w:numId="31">
    <w:abstractNumId w:val="33"/>
  </w:num>
  <w:num w:numId="32">
    <w:abstractNumId w:val="2"/>
  </w:num>
  <w:num w:numId="33">
    <w:abstractNumId w:val="1"/>
  </w:num>
  <w:num w:numId="34">
    <w:abstractNumId w:val="31"/>
  </w:num>
  <w:num w:numId="35">
    <w:abstractNumId w:val="13"/>
  </w:num>
  <w:num w:numId="36">
    <w:abstractNumId w:val="11"/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0B7B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1517"/>
    <w:rsid w:val="0011663A"/>
    <w:rsid w:val="00123F1B"/>
    <w:rsid w:val="00124941"/>
    <w:rsid w:val="00131767"/>
    <w:rsid w:val="00131960"/>
    <w:rsid w:val="00137581"/>
    <w:rsid w:val="00145F7B"/>
    <w:rsid w:val="00156426"/>
    <w:rsid w:val="00161834"/>
    <w:rsid w:val="00172085"/>
    <w:rsid w:val="00174399"/>
    <w:rsid w:val="00176B0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67C16"/>
    <w:rsid w:val="00375999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23C4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215CF"/>
    <w:rsid w:val="00730BAE"/>
    <w:rsid w:val="00732A41"/>
    <w:rsid w:val="007365F9"/>
    <w:rsid w:val="00750FC6"/>
    <w:rsid w:val="007554B7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8F75C6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413F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D155A"/>
    <w:rsid w:val="00EE2E98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6153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6EF1-5B7D-4137-A907-A4C22EDF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44</cp:revision>
  <cp:lastPrinted>2022-10-26T05:03:00Z</cp:lastPrinted>
  <dcterms:created xsi:type="dcterms:W3CDTF">2022-07-11T02:33:00Z</dcterms:created>
  <dcterms:modified xsi:type="dcterms:W3CDTF">2022-10-26T06:38:00Z</dcterms:modified>
</cp:coreProperties>
</file>