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E22551" w:rsidP="008120F1">
      <w:pPr>
        <w:jc w:val="center"/>
        <w:rPr>
          <w:caps/>
          <w:imprint/>
          <w:color w:val="000000"/>
          <w:sz w:val="20"/>
          <w:szCs w:val="20"/>
        </w:rPr>
      </w:pPr>
      <w:r>
        <w:rPr>
          <w:caps/>
          <w:imprint/>
          <w:color w:val="000000"/>
          <w:sz w:val="28"/>
          <w:szCs w:val="28"/>
        </w:rPr>
        <w:t xml:space="preserve">№ </w:t>
      </w:r>
      <w:r w:rsidR="002F02D0">
        <w:rPr>
          <w:caps/>
          <w:imprint/>
          <w:color w:val="000000"/>
          <w:sz w:val="28"/>
          <w:szCs w:val="28"/>
        </w:rPr>
        <w:t>10</w:t>
      </w:r>
      <w:r w:rsidR="008120F1">
        <w:rPr>
          <w:caps/>
          <w:imprint/>
          <w:color w:val="000000"/>
          <w:sz w:val="28"/>
          <w:szCs w:val="28"/>
        </w:rPr>
        <w:t xml:space="preserve">                                                                </w:t>
      </w:r>
      <w:r w:rsidR="00876E74">
        <w:rPr>
          <w:caps/>
          <w:imprint/>
          <w:color w:val="000000"/>
          <w:sz w:val="28"/>
          <w:szCs w:val="28"/>
        </w:rPr>
        <w:t xml:space="preserve">                              </w:t>
      </w:r>
      <w:r w:rsidR="00156102">
        <w:rPr>
          <w:caps/>
          <w:imprint/>
          <w:color w:val="000000"/>
          <w:sz w:val="28"/>
          <w:szCs w:val="28"/>
        </w:rPr>
        <w:t>05.</w:t>
      </w:r>
      <w:r w:rsidR="003E0811">
        <w:rPr>
          <w:caps/>
          <w:imprint/>
          <w:color w:val="000000"/>
          <w:sz w:val="28"/>
          <w:szCs w:val="28"/>
        </w:rPr>
        <w:t>04</w:t>
      </w:r>
      <w:r w:rsidR="00D04BEA">
        <w:rPr>
          <w:caps/>
          <w:imprint/>
          <w:color w:val="000000"/>
          <w:sz w:val="28"/>
          <w:szCs w:val="28"/>
        </w:rPr>
        <w:t>.2024</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 xml:space="preserve">Совета </w:t>
      </w:r>
      <w:r w:rsidR="00E22551">
        <w:rPr>
          <w:b/>
        </w:rPr>
        <w:t>депутатов Верх</w:t>
      </w:r>
      <w:r>
        <w:rPr>
          <w:b/>
        </w:rPr>
        <w:t>-Майзасского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2F02D0" w:rsidRPr="002F02D0" w:rsidRDefault="002F02D0" w:rsidP="002F02D0">
      <w:pPr>
        <w:widowControl w:val="0"/>
        <w:autoSpaceDE w:val="0"/>
        <w:autoSpaceDN w:val="0"/>
        <w:adjustRightInd w:val="0"/>
        <w:contextualSpacing/>
        <w:jc w:val="center"/>
        <w:rPr>
          <w:rFonts w:eastAsiaTheme="minorEastAsia"/>
          <w:bCs/>
          <w:sz w:val="28"/>
          <w:szCs w:val="28"/>
        </w:rPr>
      </w:pPr>
      <w:r w:rsidRPr="002F02D0">
        <w:rPr>
          <w:rFonts w:eastAsiaTheme="minorEastAsia"/>
          <w:bCs/>
          <w:sz w:val="28"/>
          <w:szCs w:val="28"/>
        </w:rPr>
        <w:t>Дополнительные услуги оператора сотовой связи</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Оператор сотовой связи не вправе оказывать дополнительные платные услуги без получения согласия абонента. При этом гражданин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2F02D0">
        <w:rPr>
          <w:rFonts w:eastAsiaTheme="minorEastAsia"/>
          <w:sz w:val="28"/>
          <w:szCs w:val="28"/>
        </w:rPr>
        <w:t>пп</w:t>
      </w:r>
      <w:proofErr w:type="spellEnd"/>
      <w:r w:rsidRPr="002F02D0">
        <w:rPr>
          <w:rFonts w:eastAsiaTheme="minorEastAsia"/>
          <w:sz w:val="28"/>
          <w:szCs w:val="28"/>
        </w:rPr>
        <w:t xml:space="preserve">. "б" п. 26 Правил, утв. Постановлением Правительства РФ от 09.12.2014 N 1342; п. 33, </w:t>
      </w:r>
      <w:proofErr w:type="spellStart"/>
      <w:r w:rsidRPr="002F02D0">
        <w:rPr>
          <w:rFonts w:eastAsiaTheme="minorEastAsia"/>
          <w:sz w:val="28"/>
          <w:szCs w:val="28"/>
        </w:rPr>
        <w:t>пп</w:t>
      </w:r>
      <w:proofErr w:type="spellEnd"/>
      <w:r w:rsidRPr="002F02D0">
        <w:rPr>
          <w:rFonts w:eastAsiaTheme="minorEastAsia"/>
          <w:sz w:val="28"/>
          <w:szCs w:val="28"/>
        </w:rPr>
        <w:t xml:space="preserve">. "б" п. 37 Правил, утв. Постановлением Правительства РФ от 31.12.2021 N 2606; </w:t>
      </w:r>
      <w:proofErr w:type="spellStart"/>
      <w:r w:rsidRPr="002F02D0">
        <w:rPr>
          <w:rFonts w:eastAsiaTheme="minorEastAsia"/>
          <w:sz w:val="28"/>
          <w:szCs w:val="28"/>
        </w:rPr>
        <w:t>пп</w:t>
      </w:r>
      <w:proofErr w:type="spellEnd"/>
      <w:r w:rsidRPr="002F02D0">
        <w:rPr>
          <w:rFonts w:eastAsiaTheme="minorEastAsia"/>
          <w:sz w:val="28"/>
          <w:szCs w:val="28"/>
        </w:rPr>
        <w:t>. "а" п. 36 Правил, утв. Постановлением Правительства РФ от 31.12.2021 N 2607).</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2F02D0">
        <w:rPr>
          <w:rFonts w:eastAsiaTheme="minorEastAsia"/>
          <w:sz w:val="28"/>
          <w:szCs w:val="28"/>
        </w:rPr>
        <w:t>пп</w:t>
      </w:r>
      <w:proofErr w:type="spellEnd"/>
      <w:r w:rsidRPr="002F02D0">
        <w:rPr>
          <w:rFonts w:eastAsiaTheme="minorEastAsia"/>
          <w:sz w:val="28"/>
          <w:szCs w:val="28"/>
        </w:rPr>
        <w:t xml:space="preserve">. "е" п. 24 Правил N 1342; </w:t>
      </w:r>
      <w:proofErr w:type="spellStart"/>
      <w:r w:rsidRPr="002F02D0">
        <w:rPr>
          <w:rFonts w:eastAsiaTheme="minorEastAsia"/>
          <w:sz w:val="28"/>
          <w:szCs w:val="28"/>
        </w:rPr>
        <w:t>пп</w:t>
      </w:r>
      <w:proofErr w:type="spellEnd"/>
      <w:r w:rsidRPr="002F02D0">
        <w:rPr>
          <w:rFonts w:eastAsiaTheme="minorEastAsia"/>
          <w:sz w:val="28"/>
          <w:szCs w:val="28"/>
        </w:rPr>
        <w:t xml:space="preserve">. "в" п. 35 Правил N 2606; </w:t>
      </w:r>
      <w:proofErr w:type="spellStart"/>
      <w:r w:rsidRPr="002F02D0">
        <w:rPr>
          <w:rFonts w:eastAsiaTheme="minorEastAsia"/>
          <w:sz w:val="28"/>
          <w:szCs w:val="28"/>
        </w:rPr>
        <w:t>пп</w:t>
      </w:r>
      <w:proofErr w:type="spellEnd"/>
      <w:r w:rsidRPr="002F02D0">
        <w:rPr>
          <w:rFonts w:eastAsiaTheme="minorEastAsia"/>
          <w:sz w:val="28"/>
          <w:szCs w:val="28"/>
        </w:rPr>
        <w:t>. "б" п. 33 Правил N 2607).</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подключении дополнительных услуг без согласия пользователя связи следует получить у оператора связи детализацию 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2F02D0">
        <w:rPr>
          <w:rFonts w:eastAsiaTheme="minorEastAsia"/>
          <w:sz w:val="28"/>
          <w:szCs w:val="28"/>
        </w:rPr>
        <w:t>пп</w:t>
      </w:r>
      <w:proofErr w:type="spellEnd"/>
      <w:r w:rsidRPr="002F02D0">
        <w:rPr>
          <w:rFonts w:eastAsiaTheme="minorEastAsia"/>
          <w:sz w:val="28"/>
          <w:szCs w:val="28"/>
        </w:rPr>
        <w:t xml:space="preserve">. "г" п. 26, </w:t>
      </w:r>
      <w:proofErr w:type="spellStart"/>
      <w:r w:rsidRPr="002F02D0">
        <w:rPr>
          <w:rFonts w:eastAsiaTheme="minorEastAsia"/>
          <w:sz w:val="28"/>
          <w:szCs w:val="28"/>
        </w:rPr>
        <w:t>пп</w:t>
      </w:r>
      <w:proofErr w:type="spellEnd"/>
      <w:r w:rsidRPr="002F02D0">
        <w:rPr>
          <w:rFonts w:eastAsiaTheme="minorEastAsia"/>
          <w:sz w:val="28"/>
          <w:szCs w:val="28"/>
        </w:rPr>
        <w:t>. "б" п. 27 Правил N 1342; п. 57 Правил N 2606; п. 55 Правил N 2607).</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Также можно защищать свои права в административном и судебном порядке. Однако до обращения в суд необходимо предъявить претензию оператору связи (п. п. 1, 4 ст. 55, ст. 56 Закона от 07.07.2003 N 126-ФЗ).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претензии следует указать:</w:t>
      </w:r>
    </w:p>
    <w:p w:rsidR="002F02D0" w:rsidRPr="002F02D0" w:rsidRDefault="002F02D0" w:rsidP="002F02D0">
      <w:pPr>
        <w:widowControl w:val="0"/>
        <w:numPr>
          <w:ilvl w:val="0"/>
          <w:numId w:val="1"/>
        </w:numPr>
        <w:tabs>
          <w:tab w:val="clear" w:pos="0"/>
          <w:tab w:val="left" w:pos="540"/>
        </w:tabs>
        <w:autoSpaceDE w:val="0"/>
        <w:autoSpaceDN w:val="0"/>
        <w:adjustRightInd w:val="0"/>
        <w:spacing w:after="200" w:line="276" w:lineRule="auto"/>
        <w:ind w:left="540" w:hanging="300"/>
        <w:contextualSpacing/>
        <w:jc w:val="both"/>
        <w:rPr>
          <w:rFonts w:eastAsiaTheme="minorEastAsia"/>
          <w:sz w:val="28"/>
          <w:szCs w:val="28"/>
        </w:rPr>
      </w:pPr>
      <w:r w:rsidRPr="002F02D0">
        <w:rPr>
          <w:rFonts w:eastAsiaTheme="minorEastAsia"/>
          <w:sz w:val="28"/>
          <w:szCs w:val="28"/>
        </w:rPr>
        <w:t>данные получателя претензии (наименование, место нахождения, иная контактная информация);</w:t>
      </w:r>
    </w:p>
    <w:p w:rsidR="002F02D0" w:rsidRPr="002F02D0" w:rsidRDefault="002F02D0" w:rsidP="002F02D0">
      <w:pPr>
        <w:widowControl w:val="0"/>
        <w:numPr>
          <w:ilvl w:val="0"/>
          <w:numId w:val="1"/>
        </w:numPr>
        <w:tabs>
          <w:tab w:val="clear" w:pos="0"/>
          <w:tab w:val="left" w:pos="540"/>
        </w:tabs>
        <w:autoSpaceDE w:val="0"/>
        <w:autoSpaceDN w:val="0"/>
        <w:adjustRightInd w:val="0"/>
        <w:spacing w:after="200" w:line="276" w:lineRule="auto"/>
        <w:ind w:left="540" w:hanging="300"/>
        <w:contextualSpacing/>
        <w:jc w:val="both"/>
        <w:rPr>
          <w:rFonts w:eastAsiaTheme="minorEastAsia"/>
          <w:sz w:val="28"/>
          <w:szCs w:val="28"/>
        </w:rPr>
      </w:pPr>
      <w:r w:rsidRPr="002F02D0">
        <w:rPr>
          <w:rFonts w:eastAsiaTheme="minorEastAsia"/>
          <w:sz w:val="28"/>
          <w:szCs w:val="28"/>
        </w:rPr>
        <w:t>Ф.И.О., адрес (для переписки), телефон, иные контактные данные;</w:t>
      </w:r>
    </w:p>
    <w:p w:rsidR="002F02D0" w:rsidRPr="002F02D0" w:rsidRDefault="002F02D0" w:rsidP="002F02D0">
      <w:pPr>
        <w:widowControl w:val="0"/>
        <w:numPr>
          <w:ilvl w:val="0"/>
          <w:numId w:val="1"/>
        </w:numPr>
        <w:tabs>
          <w:tab w:val="clear" w:pos="0"/>
          <w:tab w:val="left" w:pos="540"/>
        </w:tabs>
        <w:autoSpaceDE w:val="0"/>
        <w:autoSpaceDN w:val="0"/>
        <w:adjustRightInd w:val="0"/>
        <w:spacing w:after="200" w:line="276" w:lineRule="auto"/>
        <w:ind w:left="540" w:hanging="300"/>
        <w:contextualSpacing/>
        <w:jc w:val="both"/>
        <w:rPr>
          <w:rFonts w:eastAsiaTheme="minorEastAsia"/>
          <w:sz w:val="28"/>
          <w:szCs w:val="28"/>
        </w:rPr>
      </w:pPr>
      <w:r w:rsidRPr="002F02D0">
        <w:rPr>
          <w:rFonts w:eastAsiaTheme="minorEastAsia"/>
          <w:sz w:val="28"/>
          <w:szCs w:val="28"/>
        </w:rPr>
        <w:t>дату, место заключения договора на оказание услуг связи;</w:t>
      </w:r>
    </w:p>
    <w:p w:rsidR="002F02D0" w:rsidRPr="002F02D0" w:rsidRDefault="002F02D0" w:rsidP="002F02D0">
      <w:pPr>
        <w:widowControl w:val="0"/>
        <w:numPr>
          <w:ilvl w:val="0"/>
          <w:numId w:val="1"/>
        </w:numPr>
        <w:tabs>
          <w:tab w:val="clear" w:pos="0"/>
          <w:tab w:val="left" w:pos="540"/>
        </w:tabs>
        <w:autoSpaceDE w:val="0"/>
        <w:autoSpaceDN w:val="0"/>
        <w:adjustRightInd w:val="0"/>
        <w:spacing w:after="200" w:line="276" w:lineRule="auto"/>
        <w:ind w:left="540" w:hanging="300"/>
        <w:contextualSpacing/>
        <w:jc w:val="both"/>
        <w:rPr>
          <w:rFonts w:eastAsiaTheme="minorEastAsia"/>
          <w:sz w:val="28"/>
          <w:szCs w:val="28"/>
        </w:rPr>
      </w:pPr>
      <w:r w:rsidRPr="002F02D0">
        <w:rPr>
          <w:rFonts w:eastAsiaTheme="minorEastAsia"/>
          <w:sz w:val="28"/>
          <w:szCs w:val="28"/>
        </w:rPr>
        <w:t>дату, обстоятельства обнаружения подключения дополнительных услуг связи, не согласованных с оператором связи;</w:t>
      </w:r>
    </w:p>
    <w:p w:rsidR="002F02D0" w:rsidRPr="002F02D0" w:rsidRDefault="002F02D0" w:rsidP="002F02D0">
      <w:pPr>
        <w:widowControl w:val="0"/>
        <w:numPr>
          <w:ilvl w:val="0"/>
          <w:numId w:val="1"/>
        </w:numPr>
        <w:tabs>
          <w:tab w:val="clear" w:pos="0"/>
          <w:tab w:val="left" w:pos="540"/>
        </w:tabs>
        <w:autoSpaceDE w:val="0"/>
        <w:autoSpaceDN w:val="0"/>
        <w:adjustRightInd w:val="0"/>
        <w:spacing w:after="200" w:line="276" w:lineRule="auto"/>
        <w:ind w:left="540" w:hanging="300"/>
        <w:contextualSpacing/>
        <w:jc w:val="both"/>
        <w:rPr>
          <w:rFonts w:eastAsiaTheme="minorEastAsia"/>
          <w:sz w:val="28"/>
          <w:szCs w:val="28"/>
        </w:rPr>
      </w:pPr>
      <w:r w:rsidRPr="002F02D0">
        <w:rPr>
          <w:rFonts w:eastAsiaTheme="minorEastAsia"/>
          <w:sz w:val="28"/>
          <w:szCs w:val="28"/>
        </w:rPr>
        <w:t>сумму, которую оператор требует уплатить за указанные услуги;</w:t>
      </w:r>
    </w:p>
    <w:p w:rsidR="002F02D0" w:rsidRPr="002F02D0" w:rsidRDefault="002F02D0" w:rsidP="002F02D0">
      <w:pPr>
        <w:widowControl w:val="0"/>
        <w:numPr>
          <w:ilvl w:val="0"/>
          <w:numId w:val="1"/>
        </w:numPr>
        <w:tabs>
          <w:tab w:val="clear" w:pos="0"/>
          <w:tab w:val="left" w:pos="540"/>
        </w:tabs>
        <w:autoSpaceDE w:val="0"/>
        <w:autoSpaceDN w:val="0"/>
        <w:adjustRightInd w:val="0"/>
        <w:spacing w:after="200" w:line="276" w:lineRule="auto"/>
        <w:ind w:left="540" w:hanging="300"/>
        <w:contextualSpacing/>
        <w:jc w:val="both"/>
        <w:rPr>
          <w:rFonts w:eastAsiaTheme="minorEastAsia"/>
          <w:sz w:val="28"/>
          <w:szCs w:val="28"/>
        </w:rPr>
      </w:pPr>
      <w:r w:rsidRPr="002F02D0">
        <w:rPr>
          <w:rFonts w:eastAsiaTheme="minorEastAsia"/>
          <w:sz w:val="28"/>
          <w:szCs w:val="28"/>
        </w:rPr>
        <w:t>мотивы, по которым дополнительные услуги не подлежат оплате.</w:t>
      </w:r>
    </w:p>
    <w:p w:rsidR="002F02D0" w:rsidRPr="002F02D0" w:rsidRDefault="002F02D0" w:rsidP="002F02D0">
      <w:pPr>
        <w:widowControl w:val="0"/>
        <w:autoSpaceDE w:val="0"/>
        <w:autoSpaceDN w:val="0"/>
        <w:adjustRightInd w:val="0"/>
        <w:ind w:left="540"/>
        <w:contextualSpacing/>
        <w:jc w:val="both"/>
        <w:rPr>
          <w:rFonts w:eastAsiaTheme="minorEastAsia"/>
          <w:sz w:val="28"/>
          <w:szCs w:val="28"/>
        </w:rPr>
      </w:pPr>
      <w:r w:rsidRPr="002F02D0">
        <w:rPr>
          <w:rFonts w:eastAsiaTheme="minorEastAsia"/>
          <w:sz w:val="28"/>
          <w:szCs w:val="28"/>
        </w:rPr>
        <w:t>К таким мотивам можно относиться отсутствие дополнительной услуги в перечне услуг, указанных в договоре на оказание услуг связи или в дополнительном соглашении к договору, либо отсутствие иным образом оформленного согласия на подключение дополнительных услуг;</w:t>
      </w:r>
    </w:p>
    <w:p w:rsidR="002F02D0" w:rsidRPr="002F02D0" w:rsidRDefault="002F02D0" w:rsidP="002F02D0">
      <w:pPr>
        <w:widowControl w:val="0"/>
        <w:numPr>
          <w:ilvl w:val="0"/>
          <w:numId w:val="1"/>
        </w:numPr>
        <w:tabs>
          <w:tab w:val="clear" w:pos="0"/>
          <w:tab w:val="left" w:pos="540"/>
        </w:tabs>
        <w:autoSpaceDE w:val="0"/>
        <w:autoSpaceDN w:val="0"/>
        <w:adjustRightInd w:val="0"/>
        <w:spacing w:after="200" w:line="276" w:lineRule="auto"/>
        <w:ind w:left="540" w:hanging="300"/>
        <w:contextualSpacing/>
        <w:jc w:val="both"/>
        <w:rPr>
          <w:rFonts w:eastAsiaTheme="minorEastAsia"/>
          <w:sz w:val="28"/>
          <w:szCs w:val="28"/>
        </w:rPr>
      </w:pPr>
      <w:r w:rsidRPr="002F02D0">
        <w:rPr>
          <w:rFonts w:eastAsiaTheme="minorEastAsia"/>
          <w:sz w:val="28"/>
          <w:szCs w:val="28"/>
        </w:rPr>
        <w:t>требование об отключении дополнительной услуги и о пересчете суммы счета за услуги связи;</w:t>
      </w:r>
    </w:p>
    <w:p w:rsidR="002F02D0" w:rsidRPr="002F02D0" w:rsidRDefault="002F02D0" w:rsidP="002F02D0">
      <w:pPr>
        <w:widowControl w:val="0"/>
        <w:numPr>
          <w:ilvl w:val="0"/>
          <w:numId w:val="1"/>
        </w:numPr>
        <w:tabs>
          <w:tab w:val="clear" w:pos="0"/>
          <w:tab w:val="left" w:pos="540"/>
        </w:tabs>
        <w:autoSpaceDE w:val="0"/>
        <w:autoSpaceDN w:val="0"/>
        <w:adjustRightInd w:val="0"/>
        <w:spacing w:after="200" w:line="276" w:lineRule="auto"/>
        <w:ind w:left="540" w:hanging="300"/>
        <w:contextualSpacing/>
        <w:jc w:val="both"/>
        <w:rPr>
          <w:rFonts w:eastAsiaTheme="minorEastAsia"/>
          <w:sz w:val="28"/>
          <w:szCs w:val="28"/>
        </w:rPr>
      </w:pPr>
      <w:r w:rsidRPr="002F02D0">
        <w:rPr>
          <w:rFonts w:eastAsiaTheme="minorEastAsia"/>
          <w:sz w:val="28"/>
          <w:szCs w:val="28"/>
        </w:rPr>
        <w:lastRenderedPageBreak/>
        <w:t>способ получения ответа на претензию (например, по электронной почте).</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 претензии должна быть приложена копия договора на оказание услуг связи и детализации счета (п. 6 ст. 55 Закона N 126-ФЗ).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Претензию необходимо вручить или отправить оператору связи не позднее шести месяцев с даты выставления счета за оспариваемые дополнительные услуги (</w:t>
      </w:r>
      <w:proofErr w:type="spellStart"/>
      <w:r w:rsidRPr="002F02D0">
        <w:rPr>
          <w:rFonts w:eastAsiaTheme="minorEastAsia"/>
          <w:sz w:val="28"/>
          <w:szCs w:val="28"/>
        </w:rPr>
        <w:t>пп</w:t>
      </w:r>
      <w:proofErr w:type="spellEnd"/>
      <w:r w:rsidRPr="002F02D0">
        <w:rPr>
          <w:rFonts w:eastAsiaTheme="minorEastAsia"/>
          <w:sz w:val="28"/>
          <w:szCs w:val="28"/>
        </w:rPr>
        <w:t>. 1 п. 5 ст. 55 Закона N 126-ФЗ).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Рекомендуется передать претензию оператору связи лично, либо по почте заказным письмом с уведомлением и описью вложения.</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личной передаче претензии необходимо у представителя оператора связи проставить отметку на втором экземпляре претензии о ее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претензия направлена по почте, доказательством ее получения будет почтовое уведомление о вручении, которое организация почтовой связи вернет после получения претензии оператором связи.</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w:t>
      </w:r>
      <w:proofErr w:type="gramStart"/>
      <w:r w:rsidRPr="002F02D0">
        <w:rPr>
          <w:rFonts w:eastAsiaTheme="minorEastAsia"/>
          <w:sz w:val="28"/>
          <w:szCs w:val="28"/>
        </w:rPr>
        <w:t>направлены  (</w:t>
      </w:r>
      <w:proofErr w:type="gramEnd"/>
      <w:r w:rsidRPr="002F02D0">
        <w:rPr>
          <w:rFonts w:eastAsiaTheme="minorEastAsia"/>
          <w:sz w:val="28"/>
          <w:szCs w:val="28"/>
        </w:rPr>
        <w:t>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Если оператор связи не рассмотрел обращение или не удовлетворил требования, то можно обратиться с заявлением (жалобой) в территориальный орган </w:t>
      </w:r>
      <w:proofErr w:type="spellStart"/>
      <w:r w:rsidRPr="002F02D0">
        <w:rPr>
          <w:rFonts w:eastAsiaTheme="minorEastAsia"/>
          <w:sz w:val="28"/>
          <w:szCs w:val="28"/>
        </w:rPr>
        <w:t>Роспотребнадзора</w:t>
      </w:r>
      <w:proofErr w:type="spellEnd"/>
      <w:r w:rsidRPr="002F02D0">
        <w:rPr>
          <w:rFonts w:eastAsiaTheme="minorEastAsia"/>
          <w:sz w:val="28"/>
          <w:szCs w:val="28"/>
        </w:rPr>
        <w:t xml:space="preserve">, осуществляющего федеральный государственный контроль (надзор) в области защиты прав потребителей. </w:t>
      </w:r>
      <w:proofErr w:type="spellStart"/>
      <w:r w:rsidRPr="002F02D0">
        <w:rPr>
          <w:rFonts w:eastAsiaTheme="minorEastAsia"/>
          <w:sz w:val="28"/>
          <w:szCs w:val="28"/>
        </w:rPr>
        <w:t>Роспотребнадзор</w:t>
      </w:r>
      <w:proofErr w:type="spellEnd"/>
      <w:r w:rsidRPr="002F02D0">
        <w:rPr>
          <w:rFonts w:eastAsiaTheme="minorEastAsia"/>
          <w:sz w:val="28"/>
          <w:szCs w:val="28"/>
        </w:rPr>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r>
      <w:proofErr w:type="spellStart"/>
      <w:r w:rsidRPr="002F02D0">
        <w:rPr>
          <w:rFonts w:eastAsiaTheme="minorEastAsia"/>
          <w:sz w:val="28"/>
          <w:szCs w:val="28"/>
        </w:rPr>
        <w:t>Роспотребнадзор</w:t>
      </w:r>
      <w:proofErr w:type="spellEnd"/>
      <w:r w:rsidRPr="002F02D0">
        <w:rPr>
          <w:rFonts w:eastAsiaTheme="minorEastAsia"/>
          <w:sz w:val="28"/>
          <w:szCs w:val="28"/>
        </w:rPr>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КоАП РФ; п. п. 32, 41 Положения N 1005).</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Кроме того, </w:t>
      </w:r>
      <w:proofErr w:type="spellStart"/>
      <w:r w:rsidRPr="002F02D0">
        <w:rPr>
          <w:rFonts w:eastAsiaTheme="minorEastAsia"/>
          <w:sz w:val="28"/>
          <w:szCs w:val="28"/>
        </w:rPr>
        <w:t>Роспотребнадзор</w:t>
      </w:r>
      <w:proofErr w:type="spellEnd"/>
      <w:r w:rsidRPr="002F02D0">
        <w:rPr>
          <w:rFonts w:eastAsiaTheme="minorEastAsia"/>
          <w:sz w:val="28"/>
          <w:szCs w:val="28"/>
        </w:rPr>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Закона N 2300-1).</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Также можно обратиться в </w:t>
      </w:r>
      <w:proofErr w:type="spellStart"/>
      <w:r w:rsidRPr="002F02D0">
        <w:rPr>
          <w:rFonts w:eastAsiaTheme="minorEastAsia"/>
          <w:sz w:val="28"/>
          <w:szCs w:val="28"/>
        </w:rPr>
        <w:t>Роскомнадзор</w:t>
      </w:r>
      <w:proofErr w:type="spellEnd"/>
      <w:r w:rsidRPr="002F02D0">
        <w:rPr>
          <w:rFonts w:eastAsiaTheme="minorEastAsia"/>
          <w:sz w:val="28"/>
          <w:szCs w:val="28"/>
        </w:rPr>
        <w:t>, осуществляющий федеральный государственный контроль (надзор) в области связи (п. п. 1, 3, 4 Положения, утв. Постановлением Правительства РФ от 29.06.2021 N 1045; п. п. 1, 5.11 Положения, утв. Постановлением Правительства РФ от 16.03.2009 N 228).</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lastRenderedPageBreak/>
        <w:tab/>
        <w:t>При отклонении претензии полностью или частично либо неполучении ответа в установленные для ее рассмотрения сроки можно предъявить иск в суд. При этом обращаться в суд до предъявления претензии оператору связи ее пользователь не вправе (ч. 4 ст. 3 ГПК РФ; п. п. 4, 9 ст. 55 Закона N 126-ФЗ).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Иски о защите прав и законных интересов группы лиц, в том числе прав потребителей, подаются по адресу ответчика (ч. 4 ст. 30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заявлено требование о компенсации морального вреда, необходимо обращаться в районный суд. 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 исковому заявлению рекомендуется приложить, в частности, копии договора на оказание услуг связи, детализации счета и претензии (с доказательствами ее получения оператором связи) (п. 4 ст. 132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По данному иску потребитель услуг связи освобождены от уплаты госпошлины, если цена иска не превышает 1 млн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2F02D0">
        <w:rPr>
          <w:rFonts w:eastAsiaTheme="minorEastAsia"/>
          <w:sz w:val="28"/>
          <w:szCs w:val="28"/>
        </w:rPr>
        <w:t>пп</w:t>
      </w:r>
      <w:proofErr w:type="spellEnd"/>
      <w:r w:rsidRPr="002F02D0">
        <w:rPr>
          <w:rFonts w:eastAsiaTheme="minorEastAsia"/>
          <w:sz w:val="28"/>
          <w:szCs w:val="28"/>
        </w:rPr>
        <w:t xml:space="preserve">. 4 п. 2 и п. 3 ст. 333.36 НК РФ; п. 3 ст. 17 Закона N 2300-1). </w:t>
      </w:r>
      <w:r w:rsidRPr="002F02D0">
        <w:rPr>
          <w:rFonts w:eastAsiaTheme="minorEastAsia"/>
          <w:sz w:val="28"/>
          <w:szCs w:val="28"/>
        </w:rPr>
        <w:tab/>
        <w:t xml:space="preserve">При удовлетворении судом 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13 Закона N 2300-1; п. 46 Постановления Пленума Верховного Суда РФ N 17). </w:t>
      </w:r>
      <w:r w:rsidRPr="002F02D0">
        <w:rPr>
          <w:rFonts w:eastAsiaTheme="minorEastAsia"/>
          <w:sz w:val="28"/>
          <w:szCs w:val="28"/>
        </w:rPr>
        <w:tab/>
        <w:t>При удовлетворении иска суд может полностью или частично взыскать 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 п. 1 Обзора, утв. Президиумом Верховного Суда РФ 14.10.2020).</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(ч. 1 ст. 154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Панафидин С.Д.</w:t>
      </w:r>
    </w:p>
    <w:p w:rsid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center"/>
        <w:rPr>
          <w:rFonts w:eastAsiaTheme="minorEastAsia"/>
          <w:bCs/>
          <w:sz w:val="28"/>
          <w:szCs w:val="28"/>
        </w:rPr>
      </w:pPr>
      <w:r w:rsidRPr="002F02D0">
        <w:rPr>
          <w:rFonts w:eastAsiaTheme="minorEastAsia"/>
          <w:bCs/>
          <w:sz w:val="28"/>
          <w:szCs w:val="28"/>
        </w:rPr>
        <w:lastRenderedPageBreak/>
        <w:t>Защита чести и достоинства гражданина при распространении в СМИ недостоверной информации</w:t>
      </w:r>
    </w:p>
    <w:p w:rsidR="002F02D0" w:rsidRPr="002F02D0" w:rsidRDefault="002F02D0" w:rsidP="002F02D0">
      <w:pPr>
        <w:widowControl w:val="0"/>
        <w:autoSpaceDE w:val="0"/>
        <w:autoSpaceDN w:val="0"/>
        <w:adjustRightInd w:val="0"/>
        <w:contextualSpacing/>
        <w:jc w:val="center"/>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морального вреда взыскивается судом независимо от вины </w:t>
      </w:r>
      <w:proofErr w:type="spellStart"/>
      <w:r w:rsidRPr="002F02D0">
        <w:rPr>
          <w:rFonts w:eastAsiaTheme="minorEastAsia"/>
          <w:sz w:val="28"/>
          <w:szCs w:val="28"/>
        </w:rPr>
        <w:t>причинителя</w:t>
      </w:r>
      <w:proofErr w:type="spellEnd"/>
      <w:r w:rsidRPr="002F02D0">
        <w:rPr>
          <w:rFonts w:eastAsiaTheme="minorEastAsia"/>
          <w:sz w:val="28"/>
          <w:szCs w:val="28"/>
        </w:rPr>
        <w:t xml:space="preserve"> вреда (ст. 1100 ГК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распространение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Верховного Суда РФ от 15.11.2022 N 33).</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доказательств впоследствии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недостоверные сведения размещены в печати, то необходимо сохранить экземпляр соответствующего печатного издания.</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bCs/>
          <w:sz w:val="28"/>
          <w:szCs w:val="28"/>
        </w:rPr>
        <w:tab/>
        <w:t xml:space="preserve">Гражданин </w:t>
      </w:r>
      <w:r w:rsidRPr="002F02D0">
        <w:rPr>
          <w:rFonts w:eastAsiaTheme="minorEastAsia"/>
          <w:sz w:val="28"/>
          <w:szCs w:val="28"/>
        </w:rPr>
        <w:t>вправе обратиться, в частности, с требованием об опровержении недостоверных сведений, порочащих вашу честь и достоинство, непосредственно в редакцию соответствующего СМИ. При этом можно требовать опровержения недостоверных сведений в тех же СМИ и тем же способом, которым недостоверные сведения были распространены, или другим аналогичным способом.</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Отказ редакции СМИ опровергнуть такие сведения или нарушение установленного законом порядка опровержения можно обжаловать в суд.</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Обязательное предварительное обращение с таким требованием к редакции СМИ законом не предусмотрено, поэтому гражданин вправе обратиться за защитой своих прав непосредственно в суд (п. п. 1, 2 ст. 152 ГК РФ; ст. ст. 43, 45 Закона от 27.12.1991 N 2124-1; п. 4 Постановления Пленума Верховного Суда РФ N 3).</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w:t>
      </w:r>
      <w:r w:rsidRPr="002F02D0">
        <w:rPr>
          <w:rFonts w:eastAsiaTheme="minorEastAsia"/>
          <w:sz w:val="28"/>
          <w:szCs w:val="28"/>
        </w:rPr>
        <w:lastRenderedPageBreak/>
        <w:t>заявителе, распространяемой с нарушением законодательства РФ, являющейся недостоверной (ч. 1 ст. 10.3 Закона N 149-ФЗ).</w:t>
      </w:r>
    </w:p>
    <w:p w:rsidR="002F02D0" w:rsidRPr="002F02D0" w:rsidRDefault="002F02D0" w:rsidP="002F02D0">
      <w:pPr>
        <w:widowControl w:val="0"/>
        <w:autoSpaceDE w:val="0"/>
        <w:autoSpaceDN w:val="0"/>
        <w:adjustRightInd w:val="0"/>
        <w:contextualSpacing/>
        <w:jc w:val="both"/>
        <w:rPr>
          <w:rFonts w:eastAsiaTheme="minorEastAsia"/>
          <w:sz w:val="28"/>
          <w:szCs w:val="28"/>
        </w:rPr>
      </w:pPr>
      <w:bookmarkStart w:id="0" w:name="Par19"/>
      <w:bookmarkEnd w:id="0"/>
      <w:r w:rsidRPr="002F02D0">
        <w:rPr>
          <w:rFonts w:eastAsiaTheme="minorEastAsia"/>
          <w:sz w:val="28"/>
          <w:szCs w:val="28"/>
        </w:rPr>
        <w:tab/>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случае отказа оператора поисковой системы в удовлетворении требования гражданин вправе обратиться в суд с исковым заявлением о прекращении выдачи ссылок на информацию, указанную в требовании (ч. 7 ст. 10.3 Закона N 149-ФЗ).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Исковое заявление о защите чести, достоинства и (или) деловой репутации и компенсации морального вреда подается в районный суд по месту жительства (адресу) ответчика (ст. ст. 24, 28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2F02D0" w:rsidRPr="002F02D0" w:rsidRDefault="002F02D0" w:rsidP="002F02D0">
      <w:pPr>
        <w:widowControl w:val="0"/>
        <w:numPr>
          <w:ilvl w:val="0"/>
          <w:numId w:val="44"/>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автор статьи;</w:t>
      </w:r>
    </w:p>
    <w:p w:rsidR="002F02D0" w:rsidRPr="002F02D0" w:rsidRDefault="002F02D0" w:rsidP="002F02D0">
      <w:pPr>
        <w:widowControl w:val="0"/>
        <w:numPr>
          <w:ilvl w:val="0"/>
          <w:numId w:val="44"/>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2F02D0" w:rsidRPr="002F02D0" w:rsidRDefault="002F02D0" w:rsidP="002F02D0">
      <w:pPr>
        <w:widowControl w:val="0"/>
        <w:numPr>
          <w:ilvl w:val="0"/>
          <w:numId w:val="44"/>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2F02D0" w:rsidRPr="002F02D0" w:rsidRDefault="002F02D0" w:rsidP="002F02D0">
      <w:pPr>
        <w:widowControl w:val="0"/>
        <w:numPr>
          <w:ilvl w:val="0"/>
          <w:numId w:val="44"/>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учредитель СМИ в случае, если редакция СМИ не является юридическим лицом;</w:t>
      </w:r>
    </w:p>
    <w:p w:rsidR="002F02D0" w:rsidRPr="002F02D0" w:rsidRDefault="002F02D0" w:rsidP="002F02D0">
      <w:pPr>
        <w:widowControl w:val="0"/>
        <w:numPr>
          <w:ilvl w:val="0"/>
          <w:numId w:val="44"/>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оператор поисковой системы.</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установленных случаях редакция, главный редактор, журналист освобождаются от ответственности (ст. 57 Закона от 27.12.1991 N 2124-1).</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исковом заявлении необходимо заявить следующие требования (п. п. 2, 4, 9 ст. 152 ГК РФ; Апелляционное определение Московского городского суда N 33-43501/2019):</w:t>
      </w:r>
    </w:p>
    <w:p w:rsidR="002F02D0" w:rsidRPr="002F02D0" w:rsidRDefault="002F02D0" w:rsidP="002F02D0">
      <w:pPr>
        <w:widowControl w:val="0"/>
        <w:numPr>
          <w:ilvl w:val="0"/>
          <w:numId w:val="38"/>
        </w:numPr>
        <w:tabs>
          <w:tab w:val="clear" w:pos="720"/>
          <w:tab w:val="left" w:pos="540"/>
        </w:tabs>
        <w:autoSpaceDE w:val="0"/>
        <w:autoSpaceDN w:val="0"/>
        <w:adjustRightInd w:val="0"/>
        <w:spacing w:after="200" w:line="276" w:lineRule="auto"/>
        <w:ind w:left="540" w:hanging="227"/>
        <w:contextualSpacing/>
        <w:jc w:val="both"/>
        <w:rPr>
          <w:rFonts w:eastAsiaTheme="minorEastAsia"/>
          <w:sz w:val="28"/>
          <w:szCs w:val="28"/>
        </w:rPr>
      </w:pPr>
      <w:r w:rsidRPr="002F02D0">
        <w:rPr>
          <w:rFonts w:eastAsiaTheme="minorEastAsia"/>
          <w:sz w:val="28"/>
          <w:szCs w:val="28"/>
        </w:rPr>
        <w:t>обязать ответчика опровергнуть распространенные им недостоверные сведения, порочащие вашу честь и достоинство, путем размещения опровержения в тех же СМИ;</w:t>
      </w:r>
    </w:p>
    <w:p w:rsidR="002F02D0" w:rsidRPr="002F02D0" w:rsidRDefault="002F02D0" w:rsidP="002F02D0">
      <w:pPr>
        <w:widowControl w:val="0"/>
        <w:numPr>
          <w:ilvl w:val="0"/>
          <w:numId w:val="38"/>
        </w:numPr>
        <w:tabs>
          <w:tab w:val="clear" w:pos="720"/>
          <w:tab w:val="left" w:pos="540"/>
        </w:tabs>
        <w:autoSpaceDE w:val="0"/>
        <w:autoSpaceDN w:val="0"/>
        <w:adjustRightInd w:val="0"/>
        <w:spacing w:after="200" w:line="276" w:lineRule="auto"/>
        <w:ind w:left="540" w:hanging="227"/>
        <w:contextualSpacing/>
        <w:jc w:val="both"/>
        <w:rPr>
          <w:rFonts w:eastAsiaTheme="minorEastAsia"/>
          <w:sz w:val="28"/>
          <w:szCs w:val="28"/>
        </w:rPr>
      </w:pPr>
      <w:r w:rsidRPr="002F02D0">
        <w:rPr>
          <w:rFonts w:eastAsiaTheme="minorEastAsia"/>
          <w:sz w:val="28"/>
          <w:szCs w:val="28"/>
        </w:rPr>
        <w:t>обязать ответчика опубликовать в тех же СМИ опровергающий ответ;</w:t>
      </w:r>
    </w:p>
    <w:p w:rsidR="002F02D0" w:rsidRPr="002F02D0" w:rsidRDefault="002F02D0" w:rsidP="002F02D0">
      <w:pPr>
        <w:widowControl w:val="0"/>
        <w:numPr>
          <w:ilvl w:val="0"/>
          <w:numId w:val="38"/>
        </w:numPr>
        <w:tabs>
          <w:tab w:val="clear" w:pos="720"/>
          <w:tab w:val="left" w:pos="540"/>
        </w:tabs>
        <w:autoSpaceDE w:val="0"/>
        <w:autoSpaceDN w:val="0"/>
        <w:adjustRightInd w:val="0"/>
        <w:spacing w:after="200" w:line="276" w:lineRule="auto"/>
        <w:ind w:left="540" w:hanging="227"/>
        <w:contextualSpacing/>
        <w:jc w:val="both"/>
        <w:rPr>
          <w:rFonts w:eastAsiaTheme="minorEastAsia"/>
          <w:sz w:val="28"/>
          <w:szCs w:val="28"/>
        </w:rPr>
      </w:pPr>
      <w:r w:rsidRPr="002F02D0">
        <w:rPr>
          <w:rFonts w:eastAsiaTheme="minorEastAsia"/>
          <w:sz w:val="28"/>
          <w:szCs w:val="28"/>
        </w:rPr>
        <w:t>обязать ответчика удалить соответствующую информацию, а также пресечь или запретить дальнейшее ее распространение, если сведения, порочащие честь и достоинство, стали широко известны и в связи с этим опровержение невозможно довести до всеобщего сведения;</w:t>
      </w:r>
    </w:p>
    <w:p w:rsidR="002F02D0" w:rsidRPr="002F02D0" w:rsidRDefault="002F02D0" w:rsidP="002F02D0">
      <w:pPr>
        <w:widowControl w:val="0"/>
        <w:numPr>
          <w:ilvl w:val="0"/>
          <w:numId w:val="38"/>
        </w:numPr>
        <w:tabs>
          <w:tab w:val="clear" w:pos="720"/>
          <w:tab w:val="left" w:pos="540"/>
        </w:tabs>
        <w:autoSpaceDE w:val="0"/>
        <w:autoSpaceDN w:val="0"/>
        <w:adjustRightInd w:val="0"/>
        <w:spacing w:after="200" w:line="276" w:lineRule="auto"/>
        <w:ind w:left="540" w:hanging="227"/>
        <w:contextualSpacing/>
        <w:jc w:val="both"/>
        <w:rPr>
          <w:rFonts w:eastAsiaTheme="minorEastAsia"/>
          <w:sz w:val="28"/>
          <w:szCs w:val="28"/>
        </w:rPr>
      </w:pPr>
      <w:r w:rsidRPr="002F02D0">
        <w:rPr>
          <w:rFonts w:eastAsiaTheme="minorEastAsia"/>
          <w:sz w:val="28"/>
          <w:szCs w:val="28"/>
        </w:rPr>
        <w:t>возместить убытки и компенсировать моральный вред, причиненные распространением таких сведений;</w:t>
      </w:r>
    </w:p>
    <w:p w:rsidR="002F02D0" w:rsidRPr="002F02D0" w:rsidRDefault="002F02D0" w:rsidP="002F02D0">
      <w:pPr>
        <w:widowControl w:val="0"/>
        <w:numPr>
          <w:ilvl w:val="0"/>
          <w:numId w:val="38"/>
        </w:numPr>
        <w:tabs>
          <w:tab w:val="clear" w:pos="720"/>
          <w:tab w:val="left" w:pos="540"/>
        </w:tabs>
        <w:autoSpaceDE w:val="0"/>
        <w:autoSpaceDN w:val="0"/>
        <w:adjustRightInd w:val="0"/>
        <w:spacing w:after="200" w:line="276" w:lineRule="auto"/>
        <w:ind w:left="540" w:hanging="227"/>
        <w:contextualSpacing/>
        <w:jc w:val="both"/>
        <w:rPr>
          <w:rFonts w:eastAsiaTheme="minorEastAsia"/>
          <w:sz w:val="28"/>
          <w:szCs w:val="28"/>
        </w:rPr>
      </w:pPr>
      <w:r w:rsidRPr="002F02D0">
        <w:rPr>
          <w:rFonts w:eastAsiaTheme="minorEastAsia"/>
          <w:sz w:val="28"/>
          <w:szCs w:val="28"/>
        </w:rPr>
        <w:t xml:space="preserve">обязать ответчика прекратить выдачу сведений об указателе страницы сайта в </w:t>
      </w:r>
      <w:r w:rsidRPr="002F02D0">
        <w:rPr>
          <w:rFonts w:eastAsiaTheme="minorEastAsia"/>
          <w:sz w:val="28"/>
          <w:szCs w:val="28"/>
        </w:rPr>
        <w:lastRenderedPageBreak/>
        <w:t>сети Интернет, позволяющих получить доступ к соответствующей информации о заявителе.</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исковом заявлении необходимо привести обстоятельства, на которых основаны требования и доказательства, подтверждающие эти обстоятельства (п. 5 ч. 2 ст. 131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 исковому заявлению прикладываются следующие документы (ст. 132 ГПК РФ):</w:t>
      </w:r>
    </w:p>
    <w:p w:rsidR="002F02D0" w:rsidRPr="002F02D0" w:rsidRDefault="002F02D0" w:rsidP="002F02D0">
      <w:pPr>
        <w:widowControl w:val="0"/>
        <w:numPr>
          <w:ilvl w:val="0"/>
          <w:numId w:val="39"/>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доверенность или иной документ, удостоверяющий полномочия представителя (при наличии представителя);</w:t>
      </w:r>
    </w:p>
    <w:p w:rsidR="002F02D0" w:rsidRPr="002F02D0" w:rsidRDefault="002F02D0" w:rsidP="002F02D0">
      <w:pPr>
        <w:widowControl w:val="0"/>
        <w:numPr>
          <w:ilvl w:val="0"/>
          <w:numId w:val="39"/>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 xml:space="preserve">документы, подтверждающие обстоятельства, на которых </w:t>
      </w:r>
      <w:proofErr w:type="gramStart"/>
      <w:r w:rsidRPr="002F02D0">
        <w:rPr>
          <w:rFonts w:eastAsiaTheme="minorEastAsia"/>
          <w:sz w:val="28"/>
          <w:szCs w:val="28"/>
        </w:rPr>
        <w:t>основываются  требования</w:t>
      </w:r>
      <w:proofErr w:type="gramEnd"/>
      <w:r w:rsidRPr="002F02D0">
        <w:rPr>
          <w:rFonts w:eastAsiaTheme="minorEastAsia"/>
          <w:sz w:val="28"/>
          <w:szCs w:val="28"/>
        </w:rPr>
        <w:t xml:space="preserve"> (в частности, публикация в СМИ);</w:t>
      </w:r>
    </w:p>
    <w:p w:rsidR="002F02D0" w:rsidRPr="002F02D0" w:rsidRDefault="002F02D0" w:rsidP="002F02D0">
      <w:pPr>
        <w:widowControl w:val="0"/>
        <w:numPr>
          <w:ilvl w:val="0"/>
          <w:numId w:val="39"/>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копию претензии и (или) требования и доказательства их направления ответчику (ответчикам), ответ на претензию и (или) требование (при наличии);</w:t>
      </w:r>
    </w:p>
    <w:p w:rsidR="002F02D0" w:rsidRPr="002F02D0" w:rsidRDefault="002F02D0" w:rsidP="002F02D0">
      <w:pPr>
        <w:widowControl w:val="0"/>
        <w:numPr>
          <w:ilvl w:val="0"/>
          <w:numId w:val="39"/>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расчет взыскиваемой суммы, подписанный истцом (его представителем), с копиями для других лиц, участвующих в деле;</w:t>
      </w:r>
    </w:p>
    <w:p w:rsidR="002F02D0" w:rsidRPr="002F02D0" w:rsidRDefault="002F02D0" w:rsidP="002F02D0">
      <w:pPr>
        <w:widowControl w:val="0"/>
        <w:numPr>
          <w:ilvl w:val="0"/>
          <w:numId w:val="39"/>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2F02D0" w:rsidRPr="002F02D0" w:rsidRDefault="002F02D0" w:rsidP="002F02D0">
      <w:pPr>
        <w:widowControl w:val="0"/>
        <w:numPr>
          <w:ilvl w:val="0"/>
          <w:numId w:val="39"/>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2F02D0" w:rsidRPr="002F02D0" w:rsidRDefault="002F02D0" w:rsidP="002F02D0">
      <w:pPr>
        <w:widowControl w:val="0"/>
        <w:numPr>
          <w:ilvl w:val="0"/>
          <w:numId w:val="39"/>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2F02D0" w:rsidRPr="002F02D0" w:rsidRDefault="002F02D0" w:rsidP="002F02D0">
      <w:pPr>
        <w:widowControl w:val="0"/>
        <w:autoSpaceDE w:val="0"/>
        <w:autoSpaceDN w:val="0"/>
        <w:adjustRightInd w:val="0"/>
        <w:contextualSpacing/>
        <w:jc w:val="both"/>
        <w:rPr>
          <w:rFonts w:eastAsiaTheme="minorEastAsia"/>
          <w:sz w:val="28"/>
          <w:szCs w:val="28"/>
        </w:rPr>
      </w:pPr>
      <w:bookmarkStart w:id="1" w:name="Par50"/>
      <w:bookmarkEnd w:id="1"/>
      <w:r w:rsidRPr="002F02D0">
        <w:rPr>
          <w:rFonts w:eastAsiaTheme="minorEastAsia"/>
          <w:sz w:val="28"/>
          <w:szCs w:val="28"/>
        </w:rPr>
        <w:tab/>
        <w:t>На требования о защите чести и достоинства срок исковой давности не распространяется (ст. 208 ГК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рассмотрении дела суд определяет следующие обстоятельства, имеющие значение для дела (п. 7 Постановления Пленума Верховного Суда РФ N 3; п. 4 Обзора от 16.03.2016):</w:t>
      </w:r>
    </w:p>
    <w:p w:rsidR="002F02D0" w:rsidRPr="002F02D0" w:rsidRDefault="002F02D0" w:rsidP="002F02D0">
      <w:pPr>
        <w:widowControl w:val="0"/>
        <w:numPr>
          <w:ilvl w:val="0"/>
          <w:numId w:val="40"/>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факт распространения ответчиком сведений об истце;</w:t>
      </w:r>
    </w:p>
    <w:p w:rsidR="002F02D0" w:rsidRPr="002F02D0" w:rsidRDefault="002F02D0" w:rsidP="002F02D0">
      <w:pPr>
        <w:widowControl w:val="0"/>
        <w:numPr>
          <w:ilvl w:val="0"/>
          <w:numId w:val="40"/>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порочащий характер этих сведений.</w:t>
      </w:r>
    </w:p>
    <w:p w:rsidR="002F02D0" w:rsidRPr="002F02D0" w:rsidRDefault="002F02D0" w:rsidP="002F02D0">
      <w:pPr>
        <w:widowControl w:val="0"/>
        <w:numPr>
          <w:ilvl w:val="0"/>
          <w:numId w:val="40"/>
        </w:numPr>
        <w:tabs>
          <w:tab w:val="left" w:pos="540"/>
        </w:tabs>
        <w:autoSpaceDE w:val="0"/>
        <w:autoSpaceDN w:val="0"/>
        <w:adjustRightInd w:val="0"/>
        <w:spacing w:after="200" w:line="276" w:lineRule="auto"/>
        <w:contextualSpacing/>
        <w:jc w:val="both"/>
        <w:rPr>
          <w:rFonts w:eastAsiaTheme="minorEastAsia"/>
          <w:sz w:val="28"/>
          <w:szCs w:val="28"/>
        </w:rPr>
      </w:pPr>
      <w:bookmarkStart w:id="2" w:name="Par60"/>
      <w:bookmarkEnd w:id="2"/>
      <w:r w:rsidRPr="002F02D0">
        <w:rPr>
          <w:rFonts w:eastAsiaTheme="minorEastAsia"/>
          <w:sz w:val="28"/>
          <w:szCs w:val="28"/>
        </w:rPr>
        <w:t>несоответствие этих сведений действительности.</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отсутствии хотя бы одного из указанных обстоятельств суд не удовлетворит иск (п. 4 Обзора от 16.03.2016).</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Доказать соответствие распространенных сведений действительности обязан ответчик. Доказать факт распространения сведений лицом, к 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Для определения порочащего характера сведений может потребоваться назначение лингвистической экспертизы (ч. 1 ст. 79 ГПК РФ; Перечень, утв. Приказом Минюста России от 20.04.2023 N 72).</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lastRenderedPageBreak/>
        <w:tab/>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удовлетворении иска суд по ходатайству истца может полностью или частично взыскать с ответчика в пользу заявителя судебные расходы, в том числе расходы на оплату услуг представителя (ч. 1 ст. 98, ч. 1 ст. 100 ГПК РФ; п. п. 2, 4 Постановления Пленума Верховного Суда РФ от 21.01.2016 N 1).</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вопрос о судебных расходах не был разрешен при рассмотрении дела, можно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В связи с нарушением СМИ прав гражданин вправе обратиться в </w:t>
      </w:r>
      <w:proofErr w:type="spellStart"/>
      <w:r w:rsidRPr="002F02D0">
        <w:rPr>
          <w:rFonts w:eastAsiaTheme="minorEastAsia"/>
          <w:sz w:val="28"/>
          <w:szCs w:val="28"/>
        </w:rPr>
        <w:t>Роскомнадзор</w:t>
      </w:r>
      <w:proofErr w:type="spellEnd"/>
      <w:r w:rsidRPr="002F02D0">
        <w:rPr>
          <w:rFonts w:eastAsiaTheme="minorEastAsia"/>
          <w:sz w:val="28"/>
          <w:szCs w:val="28"/>
        </w:rPr>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2F02D0">
        <w:rPr>
          <w:rFonts w:eastAsiaTheme="minorEastAsia"/>
          <w:sz w:val="28"/>
          <w:szCs w:val="28"/>
        </w:rPr>
        <w:t>пп</w:t>
      </w:r>
      <w:proofErr w:type="spellEnd"/>
      <w:r w:rsidRPr="002F02D0">
        <w:rPr>
          <w:rFonts w:eastAsiaTheme="minorEastAsia"/>
          <w:sz w:val="28"/>
          <w:szCs w:val="28"/>
        </w:rPr>
        <w:t>. 5.1.1.1, 5.1.1.8, 5.11 Положения, утв. Постановлением Правительства РФ от 16.03.2009 N 228; п. п. 1, 4 Положения, утв. Постановлением Правительства РФ от 25.06.2021 N 1020).</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КоАП РФ; ст. ст. 19, 128.1 УК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Так, в частности, если действия лица, распространившего в СМИ не соответствующие действительности порочащие сведения, содержат признаки преступления, предусмотренного ч. 2 ст. 128.1 УК РФ, гражданин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 xml:space="preserve"> Панафидин С.Д.</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center"/>
        <w:rPr>
          <w:rFonts w:eastAsiaTheme="minorEastAsia"/>
          <w:sz w:val="28"/>
          <w:szCs w:val="28"/>
        </w:rPr>
      </w:pPr>
      <w:r w:rsidRPr="002F02D0">
        <w:rPr>
          <w:rFonts w:eastAsiaTheme="minorEastAsia"/>
          <w:sz w:val="28"/>
          <w:szCs w:val="28"/>
        </w:rPr>
        <w:t>Административная ответственность за зарастание садовых земельных участков сорными растениями</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2F02D0">
        <w:rPr>
          <w:rFonts w:eastAsiaTheme="minorEastAsia"/>
          <w:sz w:val="28"/>
          <w:szCs w:val="28"/>
        </w:rPr>
        <w:t>пп</w:t>
      </w:r>
      <w:proofErr w:type="spellEnd"/>
      <w:r w:rsidRPr="002F02D0">
        <w:rPr>
          <w:rFonts w:eastAsiaTheme="minorEastAsia"/>
          <w:sz w:val="28"/>
          <w:szCs w:val="28"/>
        </w:rPr>
        <w:t>. 3 п. 2 ст. 13 ЗК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bookmarkStart w:id="3" w:name="Par11"/>
      <w:bookmarkEnd w:id="3"/>
      <w:r w:rsidRPr="002F02D0">
        <w:rPr>
          <w:rFonts w:eastAsiaTheme="minorEastAsia"/>
          <w:sz w:val="28"/>
          <w:szCs w:val="28"/>
        </w:rPr>
        <w:tab/>
        <w:t>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КоАП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 ст. 79 ЗК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bookmarkStart w:id="4" w:name="Par17"/>
      <w:bookmarkEnd w:id="4"/>
      <w:r w:rsidRPr="002F02D0">
        <w:rPr>
          <w:rFonts w:eastAsiaTheme="minorEastAsia"/>
          <w:sz w:val="28"/>
          <w:szCs w:val="28"/>
        </w:rPr>
        <w:tab/>
        <w:t>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КоАП РФ; Постановление Конституционного Суда РФ от 16.10.2020 N 42-П):</w:t>
      </w:r>
    </w:p>
    <w:p w:rsidR="002F02D0" w:rsidRPr="002F02D0" w:rsidRDefault="002F02D0" w:rsidP="002F02D0">
      <w:pPr>
        <w:widowControl w:val="0"/>
        <w:numPr>
          <w:ilvl w:val="0"/>
          <w:numId w:val="42"/>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2F02D0" w:rsidRPr="002F02D0" w:rsidRDefault="002F02D0" w:rsidP="002F02D0">
      <w:pPr>
        <w:widowControl w:val="0"/>
        <w:autoSpaceDE w:val="0"/>
        <w:autoSpaceDN w:val="0"/>
        <w:adjustRightInd w:val="0"/>
        <w:ind w:left="540"/>
        <w:contextualSpacing/>
        <w:jc w:val="both"/>
        <w:rPr>
          <w:rFonts w:eastAsiaTheme="minorEastAsia"/>
          <w:sz w:val="28"/>
          <w:szCs w:val="28"/>
        </w:rPr>
      </w:pPr>
      <w:r w:rsidRPr="002F02D0">
        <w:rPr>
          <w:rFonts w:eastAsiaTheme="minorEastAsia"/>
          <w:sz w:val="28"/>
          <w:szCs w:val="28"/>
        </w:rPr>
        <w:t>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В связи с этим соответствующие положения КоАП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ответственности;</w:t>
      </w:r>
    </w:p>
    <w:p w:rsidR="002F02D0" w:rsidRPr="002F02D0" w:rsidRDefault="002F02D0" w:rsidP="002F02D0">
      <w:pPr>
        <w:widowControl w:val="0"/>
        <w:numPr>
          <w:ilvl w:val="0"/>
          <w:numId w:val="42"/>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этом владельцы садовых земельных участков не могут быть привлечены к ответственности по второму из указанных оснований (п. 1 ст. 1 Закона от 24.07.2002 N 101-ФЗ).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Правилами противопожарного режима предусмотрено, в частности, что </w:t>
      </w:r>
      <w:r w:rsidRPr="002F02D0">
        <w:rPr>
          <w:rFonts w:eastAsiaTheme="minorEastAsia"/>
          <w:sz w:val="28"/>
          <w:szCs w:val="28"/>
        </w:rPr>
        <w:lastRenderedPageBreak/>
        <w:t>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КоАП РФ).</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Панафидин С.Д.</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center"/>
        <w:rPr>
          <w:rFonts w:eastAsiaTheme="minorEastAsia"/>
          <w:sz w:val="28"/>
          <w:szCs w:val="28"/>
        </w:rPr>
      </w:pPr>
      <w:r w:rsidRPr="002F02D0">
        <w:rPr>
          <w:rFonts w:eastAsiaTheme="minorEastAsia"/>
          <w:bCs/>
          <w:sz w:val="28"/>
          <w:szCs w:val="28"/>
        </w:rPr>
        <w:t>Ответственность работодателя за предвзятое отношение к работнику</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Трудовое законодательство РФ не содержит понятия и признаков предвзятого отношения к работнику.</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то оно может быть квалифицировано как дискриминация в сфере труда (ч. 2 ст. 3 ТК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 Суда РФ 09.12.2020; п. 53 Постановления Пленума Верховного Суда РФ от 17.03.2004 N 2; п. 3 Методических рекомендаций, утв. Приказом Минтруда России от 09.11.2017 N 777):</w:t>
      </w:r>
    </w:p>
    <w:p w:rsidR="002F02D0" w:rsidRPr="002F02D0" w:rsidRDefault="002F02D0" w:rsidP="002F02D0">
      <w:pPr>
        <w:widowControl w:val="0"/>
        <w:numPr>
          <w:ilvl w:val="0"/>
          <w:numId w:val="45"/>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в необоснованном отказе в заключении трудового договора;</w:t>
      </w:r>
    </w:p>
    <w:p w:rsidR="002F02D0" w:rsidRPr="002F02D0" w:rsidRDefault="002F02D0" w:rsidP="002F02D0">
      <w:pPr>
        <w:widowControl w:val="0"/>
        <w:numPr>
          <w:ilvl w:val="0"/>
          <w:numId w:val="45"/>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в отказе в заключении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2F02D0" w:rsidRPr="002F02D0" w:rsidRDefault="002F02D0" w:rsidP="002F02D0">
      <w:pPr>
        <w:widowControl w:val="0"/>
        <w:numPr>
          <w:ilvl w:val="0"/>
          <w:numId w:val="45"/>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 xml:space="preserve">в </w:t>
      </w:r>
      <w:proofErr w:type="spellStart"/>
      <w:r w:rsidRPr="002F02D0">
        <w:rPr>
          <w:rFonts w:eastAsiaTheme="minorEastAsia"/>
          <w:sz w:val="28"/>
          <w:szCs w:val="28"/>
        </w:rPr>
        <w:t>незаключении</w:t>
      </w:r>
      <w:proofErr w:type="spellEnd"/>
      <w:r w:rsidRPr="002F02D0">
        <w:rPr>
          <w:rFonts w:eastAsiaTheme="minorEastAsia"/>
          <w:sz w:val="28"/>
          <w:szCs w:val="28"/>
        </w:rPr>
        <w:t xml:space="preserve"> с инвалидом трудового договора на вакантную должность </w:t>
      </w:r>
      <w:r w:rsidRPr="002F02D0">
        <w:rPr>
          <w:rFonts w:eastAsiaTheme="minorEastAsia"/>
          <w:sz w:val="28"/>
          <w:szCs w:val="28"/>
        </w:rPr>
        <w:lastRenderedPageBreak/>
        <w:t>на квотируемое рабочее место по обстоятельствам, не связанным с его деловыми качествами;</w:t>
      </w:r>
    </w:p>
    <w:p w:rsidR="002F02D0" w:rsidRPr="002F02D0" w:rsidRDefault="002F02D0" w:rsidP="002F02D0">
      <w:pPr>
        <w:widowControl w:val="0"/>
        <w:numPr>
          <w:ilvl w:val="0"/>
          <w:numId w:val="45"/>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в увольнении без законного основания;</w:t>
      </w:r>
    </w:p>
    <w:p w:rsidR="002F02D0" w:rsidRPr="002F02D0" w:rsidRDefault="002F02D0" w:rsidP="002F02D0">
      <w:pPr>
        <w:widowControl w:val="0"/>
        <w:numPr>
          <w:ilvl w:val="0"/>
          <w:numId w:val="45"/>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в наложении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2F02D0" w:rsidRPr="002F02D0" w:rsidRDefault="002F02D0" w:rsidP="002F02D0">
      <w:pPr>
        <w:widowControl w:val="0"/>
        <w:numPr>
          <w:ilvl w:val="0"/>
          <w:numId w:val="45"/>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в необоснованном снижении или лишении премии;</w:t>
      </w:r>
    </w:p>
    <w:p w:rsidR="002F02D0" w:rsidRPr="002F02D0" w:rsidRDefault="002F02D0" w:rsidP="002F02D0">
      <w:pPr>
        <w:widowControl w:val="0"/>
        <w:numPr>
          <w:ilvl w:val="0"/>
          <w:numId w:val="45"/>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в дискриминации при установлении и изменении условий оплаты труда;</w:t>
      </w:r>
    </w:p>
    <w:p w:rsidR="002F02D0" w:rsidRPr="002F02D0" w:rsidRDefault="002F02D0" w:rsidP="002F02D0">
      <w:pPr>
        <w:widowControl w:val="0"/>
        <w:numPr>
          <w:ilvl w:val="0"/>
          <w:numId w:val="45"/>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в неисполнении обязанности предлагать всем сокращаемым работникам все имеющиеся вакантные должности.</w:t>
      </w:r>
    </w:p>
    <w:p w:rsidR="002F02D0" w:rsidRPr="002F02D0" w:rsidRDefault="002F02D0" w:rsidP="002F02D0">
      <w:pPr>
        <w:widowControl w:val="0"/>
        <w:autoSpaceDE w:val="0"/>
        <w:autoSpaceDN w:val="0"/>
        <w:adjustRightInd w:val="0"/>
        <w:contextualSpacing/>
        <w:jc w:val="both"/>
        <w:outlineLvl w:val="0"/>
        <w:rPr>
          <w:rFonts w:eastAsiaTheme="minorEastAsia"/>
          <w:sz w:val="28"/>
          <w:szCs w:val="28"/>
        </w:rPr>
      </w:pPr>
      <w:r w:rsidRPr="002F02D0">
        <w:rPr>
          <w:rFonts w:eastAsiaTheme="minorEastAsia"/>
          <w:bCs/>
          <w:sz w:val="28"/>
          <w:szCs w:val="28"/>
        </w:rPr>
        <w:tab/>
      </w:r>
      <w:r w:rsidRPr="002F02D0">
        <w:rPr>
          <w:rFonts w:eastAsiaTheme="minorEastAsia"/>
          <w:sz w:val="28"/>
          <w:szCs w:val="28"/>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2F02D0">
        <w:rPr>
          <w:rFonts w:eastAsiaTheme="minorEastAsia"/>
          <w:sz w:val="28"/>
          <w:szCs w:val="28"/>
        </w:rPr>
        <w:t>ненадлежаще</w:t>
      </w:r>
      <w:proofErr w:type="spellEnd"/>
      <w:r w:rsidRPr="002F02D0">
        <w:rPr>
          <w:rFonts w:eastAsiaTheme="minorEastAsia"/>
          <w:sz w:val="28"/>
          <w:szCs w:val="28"/>
        </w:rPr>
        <w:t xml:space="preserve"> исполняет по своей вине возложенные на него трудовые обязанности (ст. ст. 192, 193 ТК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2F02D0" w:rsidRPr="002F02D0" w:rsidRDefault="002F02D0" w:rsidP="002F02D0">
      <w:pPr>
        <w:widowControl w:val="0"/>
        <w:numPr>
          <w:ilvl w:val="0"/>
          <w:numId w:val="46"/>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должностному лицу работодателя - от 1 000 до 5 000 руб.;</w:t>
      </w:r>
    </w:p>
    <w:p w:rsidR="002F02D0" w:rsidRPr="002F02D0" w:rsidRDefault="002F02D0" w:rsidP="002F02D0">
      <w:pPr>
        <w:widowControl w:val="0"/>
        <w:numPr>
          <w:ilvl w:val="0"/>
          <w:numId w:val="46"/>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работодателю-ИП - от 1 000 до 5 000 руб.;</w:t>
      </w:r>
    </w:p>
    <w:p w:rsidR="002F02D0" w:rsidRPr="002F02D0" w:rsidRDefault="002F02D0" w:rsidP="002F02D0">
      <w:pPr>
        <w:widowControl w:val="0"/>
        <w:numPr>
          <w:ilvl w:val="0"/>
          <w:numId w:val="46"/>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работодателю-организации - от 30 000 до 50 000 руб.</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накладывается штраф (ст. 4.6, ч. 2 ст. 5.27 КоАП РФ; п. 8 Постановления Пленума Верховного Суда РФ от 23.12.2021 N 45):</w:t>
      </w:r>
    </w:p>
    <w:p w:rsidR="002F02D0" w:rsidRPr="002F02D0" w:rsidRDefault="002F02D0" w:rsidP="002F02D0">
      <w:pPr>
        <w:widowControl w:val="0"/>
        <w:numPr>
          <w:ilvl w:val="0"/>
          <w:numId w:val="47"/>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на должностное лицо - от 10 000 до 20 000 руб. или дисквалификацию на срок от года до трех лет;</w:t>
      </w:r>
    </w:p>
    <w:p w:rsidR="002F02D0" w:rsidRPr="002F02D0" w:rsidRDefault="002F02D0" w:rsidP="002F02D0">
      <w:pPr>
        <w:widowControl w:val="0"/>
        <w:numPr>
          <w:ilvl w:val="0"/>
          <w:numId w:val="47"/>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на работодателя-ИП - от 10 000 до 20 000 руб.;</w:t>
      </w:r>
    </w:p>
    <w:p w:rsidR="002F02D0" w:rsidRPr="002F02D0" w:rsidRDefault="002F02D0" w:rsidP="002F02D0">
      <w:pPr>
        <w:widowControl w:val="0"/>
        <w:numPr>
          <w:ilvl w:val="0"/>
          <w:numId w:val="47"/>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на работодателя-организацию - от 50 000 до 70 000 руб.</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КоАП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2F02D0" w:rsidRPr="002F02D0" w:rsidRDefault="002F02D0" w:rsidP="002F02D0">
      <w:pPr>
        <w:widowControl w:val="0"/>
        <w:numPr>
          <w:ilvl w:val="0"/>
          <w:numId w:val="40"/>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если работодатель - физическое лицо - от 1 000 до 3 000 руб.;</w:t>
      </w:r>
    </w:p>
    <w:p w:rsidR="002F02D0" w:rsidRPr="002F02D0" w:rsidRDefault="002F02D0" w:rsidP="002F02D0">
      <w:pPr>
        <w:widowControl w:val="0"/>
        <w:numPr>
          <w:ilvl w:val="0"/>
          <w:numId w:val="40"/>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если работодателем является организация - от 50 000 до 100 000 руб.</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Дискриминация с использованием служебного положения может повлечь </w:t>
      </w:r>
      <w:r w:rsidRPr="002F02D0">
        <w:rPr>
          <w:rFonts w:eastAsiaTheme="minorEastAsia"/>
          <w:sz w:val="28"/>
          <w:szCs w:val="28"/>
        </w:rPr>
        <w:lastRenderedPageBreak/>
        <w:t>привлечение к уголовной ответственности (ст. 136 УК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2F02D0">
        <w:rPr>
          <w:rFonts w:eastAsiaTheme="minorEastAsia"/>
          <w:sz w:val="28"/>
          <w:szCs w:val="28"/>
        </w:rPr>
        <w:t>предпенсионного</w:t>
      </w:r>
      <w:proofErr w:type="spellEnd"/>
      <w:r w:rsidRPr="002F02D0">
        <w:rPr>
          <w:rFonts w:eastAsiaTheme="minorEastAsia"/>
          <w:sz w:val="28"/>
          <w:szCs w:val="28"/>
        </w:rPr>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2F02D0">
        <w:rPr>
          <w:rFonts w:eastAsiaTheme="minorEastAsia"/>
          <w:sz w:val="28"/>
          <w:szCs w:val="28"/>
        </w:rPr>
        <w:t>госуслуг</w:t>
      </w:r>
      <w:proofErr w:type="spellEnd"/>
      <w:r w:rsidRPr="002F02D0">
        <w:rPr>
          <w:rFonts w:eastAsiaTheme="minorEastAsia"/>
          <w:sz w:val="28"/>
          <w:szCs w:val="28"/>
        </w:rPr>
        <w:t xml:space="preserve"> (при наличии такой возможности) (ч. 1 ст. 353, ч. 1 ст. 354 ТК РФ; ч. 1 ст. 2, п. п. 1, 4 ст. 4, ч. 3 ст. 7, ч. 1 ст. 8 Закона от 02.05.2006 N 59-ФЗ; ч. 2 ст. 2 Закона от 04.08.2023 N 480-ФЗ; п. 3, </w:t>
      </w:r>
      <w:proofErr w:type="spellStart"/>
      <w:r w:rsidRPr="002F02D0">
        <w:rPr>
          <w:rFonts w:eastAsiaTheme="minorEastAsia"/>
          <w:sz w:val="28"/>
          <w:szCs w:val="28"/>
        </w:rPr>
        <w:t>пп</w:t>
      </w:r>
      <w:proofErr w:type="spellEnd"/>
      <w:r w:rsidRPr="002F02D0">
        <w:rPr>
          <w:rFonts w:eastAsiaTheme="minorEastAsia"/>
          <w:sz w:val="28"/>
          <w:szCs w:val="28"/>
        </w:rPr>
        <w:t>. "а" п. 8 Положения, утв. Постановлением Правительства РФ от 21.07.2021 N 1230).</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подтверждении фактов нарушения трудовых прав работодателю будет выдано предписание об устранении выявленных нарушений (ч. 1 ст. 357 ТК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Работник, столкнувшийся с дискриминацией, вправе обратиться с заявлением (жалобой) о нарушении законодательства в прокуратуру. 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 ч. 1 ст. 28.4 КоАП РФ; ч. 3, 5 ст. 20, ч. 1 ст. 21, ч. 2, 3 ст. 37 УПК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Соответствующее исковое заявление подается в районный суд по выбору истца (ст. ст. 24, 28, ч. 2, 6.3, 9 ст. 29 ГПК РФ):</w:t>
      </w:r>
    </w:p>
    <w:p w:rsidR="002F02D0" w:rsidRPr="002F02D0" w:rsidRDefault="002F02D0" w:rsidP="002F02D0">
      <w:pPr>
        <w:widowControl w:val="0"/>
        <w:numPr>
          <w:ilvl w:val="0"/>
          <w:numId w:val="41"/>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по адресу работодателя-организации или по месту жительства работодателя - индивидуального предпринимателя;</w:t>
      </w:r>
    </w:p>
    <w:p w:rsidR="002F02D0" w:rsidRPr="002F02D0" w:rsidRDefault="002F02D0" w:rsidP="002F02D0">
      <w:pPr>
        <w:widowControl w:val="0"/>
        <w:numPr>
          <w:ilvl w:val="0"/>
          <w:numId w:val="41"/>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2F02D0" w:rsidRPr="002F02D0" w:rsidRDefault="002F02D0" w:rsidP="002F02D0">
      <w:pPr>
        <w:widowControl w:val="0"/>
        <w:numPr>
          <w:ilvl w:val="0"/>
          <w:numId w:val="41"/>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по месту жительства работника;</w:t>
      </w:r>
    </w:p>
    <w:p w:rsidR="002F02D0" w:rsidRPr="002F02D0" w:rsidRDefault="002F02D0" w:rsidP="002F02D0">
      <w:pPr>
        <w:widowControl w:val="0"/>
        <w:numPr>
          <w:ilvl w:val="0"/>
          <w:numId w:val="41"/>
        </w:numPr>
        <w:tabs>
          <w:tab w:val="left" w:pos="540"/>
        </w:tabs>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по месту исполнения трудового договора, из которого вытекает иск, если в нем указано место его исполнения.</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Исковое заявление в суд и документы, прилагаемые к нему, следует </w:t>
      </w:r>
      <w:r w:rsidRPr="002F02D0">
        <w:rPr>
          <w:rFonts w:eastAsiaTheme="minorEastAsia"/>
          <w:sz w:val="28"/>
          <w:szCs w:val="28"/>
        </w:rPr>
        <w:lastRenderedPageBreak/>
        <w:t>подготовить в соответствии с требованиями ст. ст. 131, 132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Панафидин С.Д.</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center"/>
        <w:rPr>
          <w:rFonts w:eastAsiaTheme="minorEastAsia"/>
          <w:sz w:val="28"/>
          <w:szCs w:val="28"/>
        </w:rPr>
      </w:pPr>
      <w:r w:rsidRPr="002F02D0">
        <w:rPr>
          <w:rFonts w:eastAsiaTheme="minorEastAsia"/>
          <w:sz w:val="28"/>
          <w:szCs w:val="28"/>
        </w:rPr>
        <w:t>Служба по контракту</w:t>
      </w:r>
    </w:p>
    <w:p w:rsidR="002F02D0" w:rsidRPr="002F02D0" w:rsidRDefault="002F02D0" w:rsidP="002F02D0">
      <w:pPr>
        <w:widowControl w:val="0"/>
        <w:autoSpaceDE w:val="0"/>
        <w:autoSpaceDN w:val="0"/>
        <w:adjustRightInd w:val="0"/>
        <w:contextualSpacing/>
        <w:rPr>
          <w:rFonts w:eastAsiaTheme="minorEastAsia"/>
          <w:sz w:val="28"/>
          <w:szCs w:val="28"/>
        </w:rPr>
      </w:pPr>
    </w:p>
    <w:p w:rsidR="002F02D0" w:rsidRPr="002F02D0" w:rsidRDefault="002F02D0" w:rsidP="002F02D0">
      <w:pPr>
        <w:widowControl w:val="0"/>
        <w:autoSpaceDE w:val="0"/>
        <w:autoSpaceDN w:val="0"/>
        <w:adjustRightInd w:val="0"/>
        <w:contextualSpacing/>
        <w:jc w:val="both"/>
        <w:outlineLvl w:val="0"/>
        <w:rPr>
          <w:rFonts w:eastAsiaTheme="minorEastAsia"/>
          <w:sz w:val="28"/>
          <w:szCs w:val="28"/>
        </w:rPr>
      </w:pPr>
      <w:r w:rsidRPr="002F02D0">
        <w:rPr>
          <w:rFonts w:eastAsiaTheme="minorEastAsia"/>
          <w:bCs/>
          <w:sz w:val="28"/>
          <w:szCs w:val="28"/>
        </w:rPr>
        <w:tab/>
      </w:r>
      <w:r w:rsidRPr="002F02D0">
        <w:rPr>
          <w:rFonts w:eastAsiaTheme="minorEastAsia"/>
          <w:sz w:val="28"/>
          <w:szCs w:val="28"/>
        </w:rPr>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общем случае контракт о прохождении военной службы вправе заключать следующие лица (</w:t>
      </w:r>
      <w:proofErr w:type="spellStart"/>
      <w:r w:rsidRPr="002F02D0">
        <w:rPr>
          <w:rFonts w:eastAsiaTheme="minorEastAsia"/>
          <w:sz w:val="28"/>
          <w:szCs w:val="28"/>
        </w:rPr>
        <w:t>абз</w:t>
      </w:r>
      <w:proofErr w:type="spellEnd"/>
      <w:r w:rsidRPr="002F02D0">
        <w:rPr>
          <w:rFonts w:eastAsiaTheme="minorEastAsia"/>
          <w:sz w:val="28"/>
          <w:szCs w:val="28"/>
        </w:rPr>
        <w:t>. 3 п. 2 ст. 2, п. 1 ст. 34, п. 2 ст. 35 Закона от 28.03.1998 N 53-ФЗ):</w:t>
      </w:r>
    </w:p>
    <w:p w:rsidR="002F02D0" w:rsidRPr="002F02D0" w:rsidRDefault="002F02D0" w:rsidP="002F02D0">
      <w:pPr>
        <w:widowControl w:val="0"/>
        <w:numPr>
          <w:ilvl w:val="0"/>
          <w:numId w:val="48"/>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военнослужащие, проходящие военную службу по призыву, получившие до призыва на военную службу высшее образование;</w:t>
      </w:r>
    </w:p>
    <w:p w:rsidR="002F02D0" w:rsidRPr="002F02D0" w:rsidRDefault="002F02D0" w:rsidP="002F02D0">
      <w:pPr>
        <w:widowControl w:val="0"/>
        <w:numPr>
          <w:ilvl w:val="0"/>
          <w:numId w:val="48"/>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военнослужащие, проходящие военную службу по призыву и прослужившие не менее трех месяцев;</w:t>
      </w:r>
    </w:p>
    <w:p w:rsidR="002F02D0" w:rsidRPr="002F02D0" w:rsidRDefault="002F02D0" w:rsidP="002F02D0">
      <w:pPr>
        <w:widowControl w:val="0"/>
        <w:numPr>
          <w:ilvl w:val="0"/>
          <w:numId w:val="48"/>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военнослужащие, у которых заканчивается предыдущий контракт о прохождении военной службы;</w:t>
      </w:r>
    </w:p>
    <w:p w:rsidR="002F02D0" w:rsidRPr="002F02D0" w:rsidRDefault="002F02D0" w:rsidP="002F02D0">
      <w:pPr>
        <w:widowControl w:val="0"/>
        <w:numPr>
          <w:ilvl w:val="0"/>
          <w:numId w:val="48"/>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 xml:space="preserve">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w:t>
      </w:r>
      <w:r w:rsidRPr="002F02D0">
        <w:rPr>
          <w:rFonts w:eastAsiaTheme="minorEastAsia"/>
          <w:sz w:val="28"/>
          <w:szCs w:val="28"/>
        </w:rPr>
        <w:lastRenderedPageBreak/>
        <w:t>органы государственной охраны;</w:t>
      </w:r>
    </w:p>
    <w:p w:rsidR="002F02D0" w:rsidRPr="002F02D0" w:rsidRDefault="002F02D0" w:rsidP="002F02D0">
      <w:pPr>
        <w:widowControl w:val="0"/>
        <w:numPr>
          <w:ilvl w:val="0"/>
          <w:numId w:val="48"/>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граждане, пребывающие в запасе;</w:t>
      </w:r>
    </w:p>
    <w:p w:rsidR="002F02D0" w:rsidRPr="002F02D0" w:rsidRDefault="002F02D0" w:rsidP="002F02D0">
      <w:pPr>
        <w:widowControl w:val="0"/>
        <w:numPr>
          <w:ilvl w:val="0"/>
          <w:numId w:val="48"/>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граждане мужского пола, не пребывающие в запасе, получившие высшее образование;</w:t>
      </w:r>
    </w:p>
    <w:p w:rsidR="002F02D0" w:rsidRPr="002F02D0" w:rsidRDefault="002F02D0" w:rsidP="002F02D0">
      <w:pPr>
        <w:widowControl w:val="0"/>
        <w:numPr>
          <w:ilvl w:val="0"/>
          <w:numId w:val="48"/>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граждане женского пола, не пребывающие в запасе;</w:t>
      </w:r>
    </w:p>
    <w:p w:rsidR="002F02D0" w:rsidRPr="002F02D0" w:rsidRDefault="002F02D0" w:rsidP="002F02D0">
      <w:pPr>
        <w:widowControl w:val="0"/>
        <w:numPr>
          <w:ilvl w:val="0"/>
          <w:numId w:val="48"/>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2F02D0" w:rsidRPr="002F02D0" w:rsidRDefault="002F02D0" w:rsidP="002F02D0">
      <w:pPr>
        <w:widowControl w:val="0"/>
        <w:numPr>
          <w:ilvl w:val="0"/>
          <w:numId w:val="48"/>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2F02D0" w:rsidRPr="002F02D0" w:rsidRDefault="002F02D0" w:rsidP="002F02D0">
      <w:pPr>
        <w:widowControl w:val="0"/>
        <w:numPr>
          <w:ilvl w:val="0"/>
          <w:numId w:val="49"/>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имеющими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2F02D0" w:rsidRPr="002F02D0" w:rsidRDefault="002F02D0" w:rsidP="002F02D0">
      <w:pPr>
        <w:widowControl w:val="0"/>
        <w:numPr>
          <w:ilvl w:val="0"/>
          <w:numId w:val="49"/>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 xml:space="preserve">совершившими преступления небольшой или средней степени тяжести (за исключением некоторых преступлений, </w:t>
      </w:r>
      <w:proofErr w:type="gramStart"/>
      <w:r w:rsidRPr="002F02D0">
        <w:rPr>
          <w:rFonts w:eastAsiaTheme="minorEastAsia"/>
          <w:sz w:val="28"/>
          <w:szCs w:val="28"/>
        </w:rPr>
        <w:t>например</w:t>
      </w:r>
      <w:proofErr w:type="gramEnd"/>
      <w:r w:rsidRPr="002F02D0">
        <w:rPr>
          <w:rFonts w:eastAsiaTheme="minorEastAsia"/>
          <w:sz w:val="28"/>
          <w:szCs w:val="28"/>
        </w:rPr>
        <w:t xml:space="preserve">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2F02D0" w:rsidRPr="002F02D0" w:rsidRDefault="002F02D0" w:rsidP="002F02D0">
      <w:pPr>
        <w:widowControl w:val="0"/>
        <w:numPr>
          <w:ilvl w:val="0"/>
          <w:numId w:val="49"/>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отбывшими наказание в виде лишения свободы, судимость которых снята или погашена.</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Первый контракт о прохождении военной службы вправе заключать граждане (иностранные граждане) в возрасте с 18 лет (п. 2 ст. 34 Закона N 53-ФЗ).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F02D0">
        <w:rPr>
          <w:rFonts w:eastAsiaTheme="minorEastAsia"/>
          <w:sz w:val="28"/>
          <w:szCs w:val="28"/>
        </w:rPr>
        <w:t>психоактивных</w:t>
      </w:r>
      <w:proofErr w:type="spellEnd"/>
      <w:r w:rsidRPr="002F02D0">
        <w:rPr>
          <w:rFonts w:eastAsiaTheme="minorEastAsia"/>
          <w:sz w:val="28"/>
          <w:szCs w:val="28"/>
        </w:rPr>
        <w:t xml:space="preserve"> веществ, до окончания срока, в течение которого лицо считается подвергнутым административному наказанию. Исключение составляют случаи заключения контракта в период </w:t>
      </w:r>
      <w:r w:rsidRPr="002F02D0">
        <w:rPr>
          <w:rFonts w:eastAsiaTheme="minorEastAsia"/>
          <w:sz w:val="28"/>
          <w:szCs w:val="28"/>
        </w:rPr>
        <w:lastRenderedPageBreak/>
        <w:t>мобилизации.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2F02D0">
        <w:rPr>
          <w:rFonts w:eastAsiaTheme="minorEastAsia"/>
          <w:sz w:val="28"/>
          <w:szCs w:val="28"/>
        </w:rPr>
        <w:t>абз</w:t>
      </w:r>
      <w:proofErr w:type="spellEnd"/>
      <w:r w:rsidRPr="002F02D0">
        <w:rPr>
          <w:rFonts w:eastAsiaTheme="minorEastAsia"/>
          <w:sz w:val="28"/>
          <w:szCs w:val="28"/>
        </w:rPr>
        <w:t>. 5 п. 5, п. 5.1 ст. 34 Закона N 53-ФЗ; п. 9 Постановления Пленума Верховного Суда РФ от 29.05.2014 N 8).</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Условия контракта о прохождении военной службы включают, в частности, следующее (п. 3 ст. 32 Закона N 53-ФЗ):</w:t>
      </w:r>
    </w:p>
    <w:p w:rsidR="002F02D0" w:rsidRPr="002F02D0" w:rsidRDefault="002F02D0" w:rsidP="002F02D0">
      <w:pPr>
        <w:widowControl w:val="0"/>
        <w:numPr>
          <w:ilvl w:val="0"/>
          <w:numId w:val="50"/>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обязанность гражданина (иностранного гражданина) проходить военную службу в Вооруженных Силах РФ, других войсках, воинских формированиях или органах в течение установленного контрактом срока;</w:t>
      </w:r>
    </w:p>
    <w:p w:rsidR="002F02D0" w:rsidRPr="002F02D0" w:rsidRDefault="002F02D0" w:rsidP="002F02D0">
      <w:pPr>
        <w:widowControl w:val="0"/>
        <w:numPr>
          <w:ilvl w:val="0"/>
          <w:numId w:val="50"/>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2F02D0" w:rsidRPr="002F02D0" w:rsidRDefault="002F02D0" w:rsidP="002F02D0">
      <w:pPr>
        <w:widowControl w:val="0"/>
        <w:numPr>
          <w:ilvl w:val="0"/>
          <w:numId w:val="50"/>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Дополнительные условия контракта могут быть установлены в зависимости от места прохождения военной службы по контракту. 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w:t>
      </w:r>
      <w:r w:rsidRPr="002F02D0">
        <w:rPr>
          <w:rFonts w:eastAsiaTheme="minorEastAsia"/>
          <w:sz w:val="28"/>
          <w:szCs w:val="28"/>
        </w:rPr>
        <w:lastRenderedPageBreak/>
        <w:t>непосредственно связанных с риском для жизни и здоровья в мирное время, за особые достижения в службе (ч. 2, 12 ст. 2 Закона от 07.11.2011 N 306-ФЗ).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занимаемые ими до поступления на военную службу.</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период прохождения военной службы по контракту военнослужащие имеют право в установленных случаях на вступление в жилищно-строительные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 1 ст. 15.2, п. 1 ст. 15.3 Закона от 27.05.1998 N 76-ФЗ).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Военнослужащим, проходящим военную службу по контракту, ежегодно предоставляется основной отпуск (п. 5 ст. 11 Закона N 76-ФЗ).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 служба, за плату в размере полной стоимости путевки. Указанным военнослужащим и членам их семей при направлении в санатории на медицинскую реабилитацию в соответствии с заключением военно-врачебной комиссии дополнительно предоставляются бесплатные путевки (п. 4 ст. 16 Закона N 76-ФЗ).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Указанный перечень социальных гарантий и компенсаций военнослужащим, проходящим военную службу по контракту, не является исчерпывающим.</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Панафидин С.Д.</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center"/>
        <w:rPr>
          <w:rFonts w:eastAsiaTheme="minorEastAsia"/>
          <w:sz w:val="28"/>
          <w:szCs w:val="28"/>
        </w:rPr>
      </w:pPr>
      <w:r w:rsidRPr="002F02D0">
        <w:rPr>
          <w:rFonts w:eastAsiaTheme="minorEastAsia"/>
          <w:sz w:val="28"/>
          <w:szCs w:val="28"/>
        </w:rPr>
        <w:lastRenderedPageBreak/>
        <w:t>Ремонт в квартире службой ЖКХ</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На финансирование текущего ремонта общего имущества в МКД с собственников квартир и нанимателей взимается плата. 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Соответственно, указанные организации обязаны без дополнительной платы ремонтировать имущество, которое относится к общему имуществу МКД.</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В состав общего имущества, подлежащего бесплатному </w:t>
      </w:r>
      <w:proofErr w:type="gramStart"/>
      <w:r w:rsidRPr="002F02D0">
        <w:rPr>
          <w:rFonts w:eastAsiaTheme="minorEastAsia"/>
          <w:sz w:val="28"/>
          <w:szCs w:val="28"/>
        </w:rPr>
        <w:t>ремонту,  включаются</w:t>
      </w:r>
      <w:proofErr w:type="gramEnd"/>
      <w:r w:rsidRPr="002F02D0">
        <w:rPr>
          <w:rFonts w:eastAsiaTheme="minorEastAsia"/>
          <w:sz w:val="28"/>
          <w:szCs w:val="28"/>
        </w:rPr>
        <w:t xml:space="preserve"> в том числе:</w:t>
      </w:r>
    </w:p>
    <w:p w:rsidR="002F02D0" w:rsidRPr="002F02D0" w:rsidRDefault="002F02D0" w:rsidP="002F02D0">
      <w:pPr>
        <w:widowControl w:val="0"/>
        <w:numPr>
          <w:ilvl w:val="0"/>
          <w:numId w:val="43"/>
        </w:numPr>
        <w:autoSpaceDE w:val="0"/>
        <w:autoSpaceDN w:val="0"/>
        <w:adjustRightInd w:val="0"/>
        <w:spacing w:after="200" w:line="276" w:lineRule="auto"/>
        <w:contextualSpacing/>
        <w:jc w:val="both"/>
        <w:rPr>
          <w:rFonts w:eastAsiaTheme="minorEastAsia"/>
          <w:sz w:val="28"/>
          <w:szCs w:val="28"/>
        </w:rPr>
      </w:pPr>
      <w:r w:rsidRPr="002F02D0">
        <w:rPr>
          <w:rFonts w:eastAsiaTheme="minorEastAsia"/>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2F02D0">
        <w:rPr>
          <w:rFonts w:eastAsiaTheme="minorEastAsia"/>
          <w:sz w:val="28"/>
          <w:szCs w:val="28"/>
        </w:rPr>
        <w:t>опусках</w:t>
      </w:r>
      <w:proofErr w:type="spellEnd"/>
      <w:r w:rsidRPr="002F02D0">
        <w:rPr>
          <w:rFonts w:eastAsiaTheme="minorEastAsia"/>
          <w:sz w:val="28"/>
          <w:szCs w:val="28"/>
        </w:rPr>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 xml:space="preserve">внутридомовая система отопления, состоящая из стояков, обогревающих элементов, регулирующей и запорной арматуры, коллективных </w:t>
      </w:r>
      <w:r w:rsidRPr="002F02D0">
        <w:rPr>
          <w:rFonts w:eastAsiaTheme="minorEastAsia"/>
          <w:sz w:val="28"/>
          <w:szCs w:val="28"/>
        </w:rPr>
        <w:lastRenderedPageBreak/>
        <w:t>(общедомовых) приборов учета тепловой энергии, а также другого оборудования, расположенного на этих сетях;</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F02D0">
        <w:rPr>
          <w:rFonts w:eastAsiaTheme="minorEastAsia"/>
          <w:sz w:val="28"/>
          <w:szCs w:val="28"/>
        </w:rPr>
        <w:t>дымоудаления</w:t>
      </w:r>
      <w:proofErr w:type="spellEnd"/>
      <w:r w:rsidRPr="002F02D0">
        <w:rPr>
          <w:rFonts w:eastAsiaTheme="minorEastAsia"/>
          <w:sz w:val="28"/>
          <w:szCs w:val="28"/>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(п. п. 5 - 7 Правил N 491).</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При этом в состав общего имущества не включается интеллектуальная система учета электрической энергии, в том числе коллективные (общедомовые) приборы учета электроэнергии, обеспечивающие возможность их присоединения к таким системам (</w:t>
      </w:r>
      <w:proofErr w:type="spellStart"/>
      <w:r w:rsidRPr="002F02D0">
        <w:rPr>
          <w:rFonts w:eastAsiaTheme="minorEastAsia"/>
          <w:sz w:val="28"/>
          <w:szCs w:val="28"/>
        </w:rPr>
        <w:t>абз</w:t>
      </w:r>
      <w:proofErr w:type="spellEnd"/>
      <w:r w:rsidRPr="002F02D0">
        <w:rPr>
          <w:rFonts w:eastAsiaTheme="minorEastAsia"/>
          <w:sz w:val="28"/>
          <w:szCs w:val="28"/>
        </w:rPr>
        <w:t>. 2 п. 7 Правил N 491).</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2F02D0">
        <w:rPr>
          <w:rFonts w:eastAsiaTheme="minorEastAsia"/>
          <w:sz w:val="28"/>
          <w:szCs w:val="28"/>
        </w:rPr>
        <w:t>сантехоборудование</w:t>
      </w:r>
      <w:proofErr w:type="spellEnd"/>
      <w:r w:rsidRPr="002F02D0">
        <w:rPr>
          <w:rFonts w:eastAsiaTheme="minorEastAsia"/>
          <w:sz w:val="28"/>
          <w:szCs w:val="28"/>
        </w:rPr>
        <w:t>, в границы эксплуатационной ответственности службы ЖКХ не входят.</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При этом границы эксплуатационной ответственности могут быть закреплены документально, </w:t>
      </w:r>
      <w:proofErr w:type="gramStart"/>
      <w:r w:rsidRPr="002F02D0">
        <w:rPr>
          <w:rFonts w:eastAsiaTheme="minorEastAsia"/>
          <w:sz w:val="28"/>
          <w:szCs w:val="28"/>
        </w:rPr>
        <w:t>например</w:t>
      </w:r>
      <w:proofErr w:type="gramEnd"/>
      <w:r w:rsidRPr="002F02D0">
        <w:rPr>
          <w:rFonts w:eastAsiaTheme="minorEastAsia"/>
          <w:sz w:val="28"/>
          <w:szCs w:val="28"/>
        </w:rPr>
        <w:t xml:space="preserve"> в договоре с управляющей компанией или в приложении к нему (Письмо Минстроя России от 01.04.2016 N 9506-АЧ/04).</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случае аварии или поломки оборудования, находящегося в квартире, но относящегося к общедомовому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Кроме того, если необходимость ремонта внутри квартиры вызвана ненадлежащим оказанием коммунальных услуг, от службы ЖКХ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индивидуальных приборов учета воды, газа, электричества;</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газовых и электрических плит;</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 xml:space="preserve">сантехнического оборудования, находящегося в квартире (смесителей, кранов, ванн, раковин, унитазов, водонагревателей и тому подобного </w:t>
      </w:r>
      <w:r w:rsidRPr="002F02D0">
        <w:rPr>
          <w:rFonts w:eastAsiaTheme="minorEastAsia"/>
          <w:sz w:val="28"/>
          <w:szCs w:val="28"/>
        </w:rPr>
        <w:lastRenderedPageBreak/>
        <w:t>оборудования);</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труб и отводов, расположенных на ответвлениях от стояков после отключающего устройства или запорно-регулировочного крана;</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домофонов, находящихся в квартире;</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электрических кабелей, розеток и иных электрических элементов, расположенных внутри квартиры;</w:t>
      </w:r>
    </w:p>
    <w:p w:rsidR="002F02D0" w:rsidRPr="002F02D0" w:rsidRDefault="002F02D0" w:rsidP="002F02D0">
      <w:pPr>
        <w:widowControl w:val="0"/>
        <w:numPr>
          <w:ilvl w:val="0"/>
          <w:numId w:val="43"/>
        </w:numPr>
        <w:autoSpaceDE w:val="0"/>
        <w:autoSpaceDN w:val="0"/>
        <w:adjustRightInd w:val="0"/>
        <w:spacing w:after="200" w:line="276" w:lineRule="auto"/>
        <w:ind w:hanging="227"/>
        <w:contextualSpacing/>
        <w:jc w:val="both"/>
        <w:rPr>
          <w:rFonts w:eastAsiaTheme="minorEastAsia"/>
          <w:sz w:val="28"/>
          <w:szCs w:val="28"/>
        </w:rPr>
      </w:pPr>
      <w:r w:rsidRPr="002F02D0">
        <w:rPr>
          <w:rFonts w:eastAsiaTheme="minorEastAsia"/>
          <w:sz w:val="28"/>
          <w:szCs w:val="28"/>
        </w:rPr>
        <w:t>иного оборудования и имущества, не относящихся к общедомовому имуществу и обслуживающих только одну квартиру.</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2F02D0">
        <w:rPr>
          <w:rFonts w:eastAsiaTheme="minorEastAsia"/>
          <w:sz w:val="28"/>
          <w:szCs w:val="28"/>
        </w:rPr>
        <w:t>Минрегиона</w:t>
      </w:r>
      <w:proofErr w:type="spellEnd"/>
      <w:r w:rsidRPr="002F02D0">
        <w:rPr>
          <w:rFonts w:eastAsiaTheme="minorEastAsia"/>
          <w:sz w:val="28"/>
          <w:szCs w:val="28"/>
        </w:rPr>
        <w:t xml:space="preserve"> России от 29.07.2008 N 18453-АД/14, от 10.08.2009 N 25452-ВК/14).</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Панафидин С.Д.</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center"/>
        <w:rPr>
          <w:rFonts w:eastAsiaTheme="minorEastAsia"/>
          <w:sz w:val="28"/>
          <w:szCs w:val="28"/>
        </w:rPr>
      </w:pPr>
      <w:r w:rsidRPr="002F02D0">
        <w:rPr>
          <w:rFonts w:eastAsiaTheme="minorEastAsia"/>
          <w:bCs/>
          <w:sz w:val="28"/>
          <w:szCs w:val="28"/>
        </w:rPr>
        <w:t>Ответственность за совершение врачебной ошибки</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r>
      <w:r w:rsidRPr="002F02D0">
        <w:rPr>
          <w:rFonts w:eastAsiaTheme="minorEastAsia"/>
          <w:bCs/>
          <w:sz w:val="28"/>
          <w:szCs w:val="28"/>
        </w:rPr>
        <w:t>1.1. Дисциплинарная ответственность</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2F02D0" w:rsidRPr="002F02D0" w:rsidRDefault="002F02D0" w:rsidP="002F02D0">
      <w:pPr>
        <w:widowControl w:val="0"/>
        <w:autoSpaceDE w:val="0"/>
        <w:autoSpaceDN w:val="0"/>
        <w:adjustRightInd w:val="0"/>
        <w:contextualSpacing/>
        <w:outlineLvl w:val="1"/>
        <w:rPr>
          <w:rFonts w:eastAsiaTheme="minorEastAsia"/>
          <w:sz w:val="28"/>
          <w:szCs w:val="28"/>
        </w:rPr>
      </w:pPr>
      <w:r w:rsidRPr="002F02D0">
        <w:rPr>
          <w:rFonts w:eastAsiaTheme="minorEastAsia"/>
          <w:bCs/>
          <w:sz w:val="28"/>
          <w:szCs w:val="28"/>
        </w:rPr>
        <w:tab/>
        <w:t>1.2. Гражданско-правовая ответственность</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При причинении увечья (ином повреждении </w:t>
      </w:r>
      <w:r w:rsidRPr="002F02D0">
        <w:rPr>
          <w:rFonts w:eastAsiaTheme="minorEastAsia"/>
          <w:sz w:val="28"/>
          <w:szCs w:val="28"/>
        </w:rPr>
        <w:lastRenderedPageBreak/>
        <w:t>здоровья) возмещению подлежит утраченный пострадавшим заработок (доход), который он имел либо определенно мог иметь, а также 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 п. 1 ст. 1064, п. 1 ст. 1068, п. 1 ст. 1085, ст. 1099 ГК РФ; п. 9 ч. 5 ст. 19, ч. 2, 3 ст. 98 Закона N 323-ФЗ).</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нравственные или физические страдания. 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своевременной помощи (п. 49 Постановления Пленума Верховного Суда РФ от 15.11.2022 N 33).</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случае смерти пациента вред возмещается установленным законом лицам (например, нетрудоспособным иждивенцам умершего) по общему правилу в размере той доли заработка (дохода) умершего, которую они получали или имели право получать на свое содержание при его жизни (ст. 1088, п. 1 ст. 1089 ГК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 случае обращения в суд с исковым заявлением о защите прав потребителей за неудовлетворение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r>
      <w:r w:rsidRPr="002F02D0">
        <w:rPr>
          <w:rFonts w:eastAsiaTheme="minorEastAsia"/>
          <w:bCs/>
          <w:sz w:val="28"/>
          <w:szCs w:val="28"/>
        </w:rPr>
        <w:t>1.3. Административная ответственность</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Законодательством предусмотрена административная ответственность в виде наложения административного штрафа на врачей, медицинские организации и ее должностных лиц за совершение таких правонарушений, как, например, проведение искусственного прерывания беременности с нарушением установленных сроков, оказание медицинских услуг ненадлежащего качества (ч. 2 ст. 6.32, ст. 14.4 КоАП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ответственности не освобождает от административной ответственности организацию (ч. 3 ст. 2.1 КоАП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Организация не подлежит административной ответственности за совершение правонарушения, за которое ее должностное лицо или иной работник </w:t>
      </w:r>
      <w:r w:rsidRPr="002F02D0">
        <w:rPr>
          <w:rFonts w:eastAsiaTheme="minorEastAsia"/>
          <w:sz w:val="28"/>
          <w:szCs w:val="28"/>
        </w:rPr>
        <w:lastRenderedPageBreak/>
        <w:t>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КоАП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r>
      <w:r w:rsidRPr="002F02D0">
        <w:rPr>
          <w:rFonts w:eastAsiaTheme="minorEastAsia"/>
          <w:bCs/>
          <w:sz w:val="28"/>
          <w:szCs w:val="28"/>
        </w:rPr>
        <w:t>1.4. Уголовная ответственность</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124, ч. 2, 3 ст. 293 УК РФ).</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сфере здравоохранения (ст. ст. 89, 90 Закона N 323-ФЗ; п. п. 2, 4, 11 Требований, утв. Приказом Минздрава России от 31.07.2020 N 785н; п. 2 Приложения к Приказу Минздрава России от 31.07.2020 N 787н).</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 xml:space="preserve">Кроме того, возможно обращение с соответствующими требованиями, например, в Росздравнадзор, в </w:t>
      </w:r>
      <w:proofErr w:type="spellStart"/>
      <w:r w:rsidRPr="002F02D0">
        <w:rPr>
          <w:rFonts w:eastAsiaTheme="minorEastAsia"/>
          <w:sz w:val="28"/>
          <w:szCs w:val="28"/>
        </w:rPr>
        <w:t>Роспотребнадзор</w:t>
      </w:r>
      <w:proofErr w:type="spellEnd"/>
      <w:r w:rsidRPr="002F02D0">
        <w:rPr>
          <w:rFonts w:eastAsiaTheme="minorEastAsia"/>
          <w:sz w:val="28"/>
          <w:szCs w:val="28"/>
        </w:rPr>
        <w:t xml:space="preserve">, а также в суд (ст. ст. 23.49, 23.81 КоАП РФ; ч. 1 ст. 3, п. 1 ч. 1 ст. 22 ГПК РФ; ст. 85, ч. 2 ст. 86, ч. 1, п. 1 ч. 2 ст. 87, ч. 1 ст. 89 Закона N 323-ФЗ; ч. 1 ст. 31, п. 1 ч. 1 ст. 58 Закона от 31.07.2020 N 248-ФЗ; </w:t>
      </w:r>
      <w:proofErr w:type="spellStart"/>
      <w:r w:rsidRPr="002F02D0">
        <w:rPr>
          <w:rFonts w:eastAsiaTheme="minorEastAsia"/>
          <w:sz w:val="28"/>
          <w:szCs w:val="28"/>
        </w:rPr>
        <w:t>пп</w:t>
      </w:r>
      <w:proofErr w:type="spellEnd"/>
      <w:r w:rsidRPr="002F02D0">
        <w:rPr>
          <w:rFonts w:eastAsiaTheme="minorEastAsia"/>
          <w:sz w:val="28"/>
          <w:szCs w:val="28"/>
        </w:rPr>
        <w:t>. "а" п. 3, п. 4 Положения, утв. Постановлением Правительства РФ от 29.06.2021 N 1048; п. п. 2, 4 Положения, утв. Постановлением Правительства РФ от 25.06.2021 N 1005).</w:t>
      </w: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ab/>
        <w:t>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Приказом МВД России от 29.08.2014 N 736).</w:t>
      </w:r>
    </w:p>
    <w:p w:rsidR="002F02D0" w:rsidRPr="002F02D0" w:rsidRDefault="002F02D0" w:rsidP="002F02D0">
      <w:pPr>
        <w:widowControl w:val="0"/>
        <w:autoSpaceDE w:val="0"/>
        <w:autoSpaceDN w:val="0"/>
        <w:adjustRightInd w:val="0"/>
        <w:contextualSpacing/>
        <w:jc w:val="both"/>
        <w:rPr>
          <w:rFonts w:eastAsiaTheme="minorEastAsia"/>
          <w:sz w:val="28"/>
          <w:szCs w:val="28"/>
        </w:rPr>
      </w:pPr>
    </w:p>
    <w:p w:rsidR="002F02D0" w:rsidRPr="002F02D0" w:rsidRDefault="002F02D0" w:rsidP="002F02D0">
      <w:pPr>
        <w:widowControl w:val="0"/>
        <w:autoSpaceDE w:val="0"/>
        <w:autoSpaceDN w:val="0"/>
        <w:adjustRightInd w:val="0"/>
        <w:contextualSpacing/>
        <w:jc w:val="both"/>
        <w:rPr>
          <w:rFonts w:eastAsiaTheme="minorEastAsia"/>
          <w:sz w:val="28"/>
          <w:szCs w:val="28"/>
        </w:rPr>
      </w:pPr>
      <w:r w:rsidRPr="002F02D0">
        <w:rPr>
          <w:rFonts w:eastAsiaTheme="minorEastAsia"/>
          <w:sz w:val="28"/>
          <w:szCs w:val="28"/>
        </w:rPr>
        <w:t>Панафидин С.Д.</w:t>
      </w:r>
    </w:p>
    <w:p w:rsidR="002F02D0" w:rsidRPr="002F02D0" w:rsidRDefault="002F02D0" w:rsidP="002F02D0">
      <w:pPr>
        <w:widowControl w:val="0"/>
        <w:autoSpaceDE w:val="0"/>
        <w:autoSpaceDN w:val="0"/>
        <w:adjustRightInd w:val="0"/>
        <w:contextualSpacing/>
        <w:jc w:val="center"/>
        <w:rPr>
          <w:rFonts w:eastAsiaTheme="minorEastAsia"/>
          <w:sz w:val="28"/>
          <w:szCs w:val="28"/>
        </w:rPr>
      </w:pPr>
      <w:r w:rsidRPr="002F02D0">
        <w:rPr>
          <w:rFonts w:eastAsiaTheme="minorEastAsia"/>
          <w:sz w:val="28"/>
          <w:szCs w:val="28"/>
        </w:rPr>
        <w:t xml:space="preserve"> </w:t>
      </w:r>
    </w:p>
    <w:p w:rsidR="00B52C15" w:rsidRDefault="00B52C15" w:rsidP="000A325F">
      <w:pPr>
        <w:pStyle w:val="aa"/>
        <w:ind w:right="-55"/>
        <w:jc w:val="right"/>
        <w:rPr>
          <w:sz w:val="24"/>
          <w:szCs w:val="24"/>
        </w:rPr>
      </w:pP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2F02D0" w:rsidRPr="0011663A" w:rsidRDefault="002F02D0" w:rsidP="000A325F">
      <w:pPr>
        <w:pStyle w:val="aa"/>
        <w:ind w:right="-55"/>
        <w:jc w:val="right"/>
        <w:rPr>
          <w:sz w:val="24"/>
          <w:szCs w:val="24"/>
        </w:rPr>
      </w:pPr>
      <w:bookmarkStart w:id="5" w:name="_GoBack"/>
      <w:bookmarkEnd w:id="5"/>
    </w:p>
    <w:p w:rsidR="003419A2" w:rsidRDefault="003419A2" w:rsidP="00993895">
      <w:pPr>
        <w:pStyle w:val="ConsPlusNonformat"/>
        <w:rPr>
          <w:rFonts w:ascii="Times New Roman" w:hAnsi="Times New Roman" w:cs="Times New Roman"/>
          <w:color w:val="000000"/>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w:t>
      </w:r>
      <w:r w:rsidR="00661198" w:rsidRPr="0011663A">
        <w:rPr>
          <w:rFonts w:ascii="Times New Roman" w:hAnsi="Times New Roman" w:cs="Times New Roman"/>
          <w:color w:val="000000"/>
          <w:sz w:val="24"/>
          <w:szCs w:val="24"/>
        </w:rPr>
        <w:t>печатное издание</w:t>
      </w:r>
      <w:r w:rsidR="009F1750" w:rsidRPr="0011663A">
        <w:rPr>
          <w:rFonts w:ascii="Times New Roman" w:hAnsi="Times New Roman" w:cs="Times New Roman"/>
          <w:color w:val="000000"/>
          <w:sz w:val="24"/>
          <w:szCs w:val="24"/>
        </w:rPr>
        <w:t xml:space="preserve"> № </w:t>
      </w:r>
      <w:r w:rsidR="002F02D0">
        <w:rPr>
          <w:rFonts w:ascii="Times New Roman" w:hAnsi="Times New Roman" w:cs="Times New Roman"/>
          <w:color w:val="000000"/>
          <w:sz w:val="24"/>
          <w:szCs w:val="24"/>
        </w:rPr>
        <w:t>10 05.04.2024</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w:t>
      </w:r>
      <w:r w:rsidR="00093B77" w:rsidRPr="0011663A">
        <w:rPr>
          <w:color w:val="000000"/>
        </w:rPr>
        <w:t>Адрес: 632285</w:t>
      </w:r>
      <w:r w:rsidR="008120F1" w:rsidRPr="0011663A">
        <w:rPr>
          <w:color w:val="000000"/>
        </w:rPr>
        <w:t xml:space="preserve"> </w:t>
      </w:r>
      <w:proofErr w:type="spellStart"/>
      <w:r w:rsidR="008120F1" w:rsidRPr="0011663A">
        <w:rPr>
          <w:color w:val="000000"/>
        </w:rPr>
        <w:t>с.Верх-Майзасс</w:t>
      </w:r>
      <w:proofErr w:type="spellEnd"/>
      <w:r w:rsidR="008120F1" w:rsidRPr="0011663A">
        <w:rPr>
          <w:color w:val="000000"/>
        </w:rPr>
        <w:t xml:space="preserve">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proofErr w:type="spellStart"/>
      <w:r w:rsidR="008120F1" w:rsidRPr="0011663A">
        <w:rPr>
          <w:color w:val="000000"/>
        </w:rPr>
        <w:t>ул.Нарымская</w:t>
      </w:r>
      <w:proofErr w:type="spellEnd"/>
      <w:r w:rsidR="008120F1" w:rsidRPr="0011663A">
        <w:rPr>
          <w:color w:val="000000"/>
        </w:rPr>
        <w:t>, 30</w:t>
      </w:r>
    </w:p>
    <w:p w:rsidR="000F3F26" w:rsidRPr="0011663A" w:rsidRDefault="008120F1" w:rsidP="00993895">
      <w:r w:rsidRPr="0011663A">
        <w:rPr>
          <w:color w:val="000000"/>
        </w:rPr>
        <w:t xml:space="preserve">                                          Подписано к печати:</w:t>
      </w:r>
      <w:r w:rsidR="00E22551">
        <w:rPr>
          <w:color w:val="000000"/>
        </w:rPr>
        <w:t xml:space="preserve"> </w:t>
      </w:r>
      <w:r w:rsidR="00156102">
        <w:rPr>
          <w:color w:val="000000"/>
        </w:rPr>
        <w:t>05.04.2024</w:t>
      </w:r>
      <w:r w:rsidR="00661198" w:rsidRPr="0011663A">
        <w:rPr>
          <w:color w:val="000000"/>
        </w:rPr>
        <w:t xml:space="preserve"> г.</w:t>
      </w:r>
      <w:r w:rsidRPr="0011663A">
        <w:rPr>
          <w:color w:val="000000"/>
        </w:rPr>
        <w:t xml:space="preserve"> </w:t>
      </w:r>
      <w:r w:rsidR="00661198" w:rsidRPr="0011663A">
        <w:rPr>
          <w:color w:val="000000"/>
        </w:rPr>
        <w:t xml:space="preserve">Тираж </w:t>
      </w:r>
      <w:r w:rsidR="00DE722C">
        <w:rPr>
          <w:color w:val="000000"/>
        </w:rPr>
        <w:t>1</w:t>
      </w:r>
      <w:r w:rsidR="00661198" w:rsidRPr="0011663A">
        <w:rPr>
          <w:color w:val="000000"/>
        </w:rPr>
        <w:t>5 экз.</w:t>
      </w:r>
      <w:r w:rsidRPr="0011663A">
        <w:rPr>
          <w:color w:val="000000"/>
        </w:rPr>
        <w:t xml:space="preserve"> </w:t>
      </w:r>
    </w:p>
    <w:sectPr w:rsidR="000F3F26" w:rsidRPr="0011663A" w:rsidSect="00D04BEA">
      <w:headerReference w:type="even" r:id="rId8"/>
      <w:headerReference w:type="default" r:id="rId9"/>
      <w:pgSz w:w="11905"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A25" w:rsidRDefault="00B57A25" w:rsidP="00A01B75">
      <w:r>
        <w:separator/>
      </w:r>
    </w:p>
  </w:endnote>
  <w:endnote w:type="continuationSeparator" w:id="0">
    <w:p w:rsidR="00B57A25" w:rsidRDefault="00B57A25"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A25" w:rsidRDefault="00B57A25" w:rsidP="00A01B75">
      <w:r>
        <w:separator/>
      </w:r>
    </w:p>
  </w:footnote>
  <w:footnote w:type="continuationSeparator" w:id="0">
    <w:p w:rsidR="00B57A25" w:rsidRDefault="00B57A25"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B57A2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6"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7" w15:restartNumberingAfterBreak="0">
    <w:nsid w:val="02DF48E8"/>
    <w:multiLevelType w:val="multilevel"/>
    <w:tmpl w:val="51AC87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1" w15:restartNumberingAfterBreak="0">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16" w15:restartNumberingAfterBreak="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8"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3" w15:restartNumberingAfterBreak="0">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F976C9"/>
    <w:multiLevelType w:val="multilevel"/>
    <w:tmpl w:val="7ADA84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30"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31"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32" w15:restartNumberingAfterBreak="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33" w15:restartNumberingAfterBreak="0">
    <w:nsid w:val="4C5E69C7"/>
    <w:multiLevelType w:val="hybridMultilevel"/>
    <w:tmpl w:val="3DCC2EF2"/>
    <w:lvl w:ilvl="0" w:tplc="DBE09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5"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6"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37"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1"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43" w15:restartNumberingAfterBreak="0">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45"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77680D"/>
    <w:multiLevelType w:val="hybridMultilevel"/>
    <w:tmpl w:val="5CF8F08C"/>
    <w:lvl w:ilvl="0" w:tplc="7E0E6A7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28"/>
  </w:num>
  <w:num w:numId="4">
    <w:abstractNumId w:val="43"/>
  </w:num>
  <w:num w:numId="5">
    <w:abstractNumId w:val="21"/>
  </w:num>
  <w:num w:numId="6">
    <w:abstractNumId w:val="19"/>
  </w:num>
  <w:num w:numId="7">
    <w:abstractNumId w:val="32"/>
  </w:num>
  <w:num w:numId="8">
    <w:abstractNumId w:val="13"/>
  </w:num>
  <w:num w:numId="9">
    <w:abstractNumId w:val="45"/>
  </w:num>
  <w:num w:numId="10">
    <w:abstractNumId w:val="34"/>
  </w:num>
  <w:num w:numId="11">
    <w:abstractNumId w:val="35"/>
  </w:num>
  <w:num w:numId="12">
    <w:abstractNumId w:val="10"/>
  </w:num>
  <w:num w:numId="13">
    <w:abstractNumId w:val="25"/>
  </w:num>
  <w:num w:numId="14">
    <w:abstractNumId w:val="16"/>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37"/>
  </w:num>
  <w:num w:numId="22">
    <w:abstractNumId w:val="20"/>
  </w:num>
  <w:num w:numId="23">
    <w:abstractNumId w:val="39"/>
  </w:num>
  <w:num w:numId="24">
    <w:abstractNumId w:val="38"/>
  </w:num>
  <w:num w:numId="25">
    <w:abstractNumId w:val="22"/>
  </w:num>
  <w:num w:numId="26">
    <w:abstractNumId w:val="17"/>
  </w:num>
  <w:num w:numId="27">
    <w:abstractNumId w:val="46"/>
  </w:num>
  <w:num w:numId="28">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0">
    <w:abstractNumId w:val="9"/>
  </w:num>
  <w:num w:numId="31">
    <w:abstractNumId w:val="12"/>
  </w:num>
  <w:num w:numId="32">
    <w:abstractNumId w:val="26"/>
  </w:num>
  <w:num w:numId="33">
    <w:abstractNumId w:val="7"/>
    <w:lvlOverride w:ilvl="0">
      <w:startOverride w:val="1"/>
    </w:lvlOverride>
    <w:lvlOverride w:ilvl="1"/>
    <w:lvlOverride w:ilvl="2"/>
    <w:lvlOverride w:ilvl="3"/>
    <w:lvlOverride w:ilvl="4"/>
    <w:lvlOverride w:ilvl="5"/>
    <w:lvlOverride w:ilvl="6"/>
    <w:lvlOverride w:ilvl="7"/>
    <w:lvlOverride w:ilvl="8"/>
  </w:num>
  <w:num w:numId="34">
    <w:abstractNumId w:val="27"/>
  </w:num>
  <w:num w:numId="35">
    <w:abstractNumId w:val="41"/>
  </w:num>
  <w:num w:numId="36">
    <w:abstractNumId w:val="33"/>
  </w:num>
  <w:num w:numId="37">
    <w:abstractNumId w:val="40"/>
  </w:num>
  <w:num w:numId="38">
    <w:abstractNumId w:val="2"/>
  </w:num>
  <w:num w:numId="39">
    <w:abstractNumId w:val="3"/>
  </w:num>
  <w:num w:numId="40">
    <w:abstractNumId w:val="4"/>
  </w:num>
  <w:num w:numId="41">
    <w:abstractNumId w:val="5"/>
  </w:num>
  <w:num w:numId="42">
    <w:abstractNumId w:val="15"/>
  </w:num>
  <w:num w:numId="43">
    <w:abstractNumId w:val="18"/>
  </w:num>
  <w:num w:numId="44">
    <w:abstractNumId w:val="31"/>
  </w:num>
  <w:num w:numId="45">
    <w:abstractNumId w:val="42"/>
  </w:num>
  <w:num w:numId="46">
    <w:abstractNumId w:val="30"/>
  </w:num>
  <w:num w:numId="47">
    <w:abstractNumId w:val="44"/>
  </w:num>
  <w:num w:numId="48">
    <w:abstractNumId w:val="29"/>
  </w:num>
  <w:num w:numId="49">
    <w:abstractNumId w:val="3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246AA"/>
    <w:rsid w:val="00093919"/>
    <w:rsid w:val="00093B77"/>
    <w:rsid w:val="000A325F"/>
    <w:rsid w:val="000A3CC3"/>
    <w:rsid w:val="000A6D45"/>
    <w:rsid w:val="000F0958"/>
    <w:rsid w:val="00102B29"/>
    <w:rsid w:val="0011663A"/>
    <w:rsid w:val="00131767"/>
    <w:rsid w:val="00137581"/>
    <w:rsid w:val="00156102"/>
    <w:rsid w:val="001A142D"/>
    <w:rsid w:val="001C3ADE"/>
    <w:rsid w:val="00206DAA"/>
    <w:rsid w:val="0023086A"/>
    <w:rsid w:val="00293295"/>
    <w:rsid w:val="002934DA"/>
    <w:rsid w:val="002F02D0"/>
    <w:rsid w:val="002F6818"/>
    <w:rsid w:val="003419A2"/>
    <w:rsid w:val="00390393"/>
    <w:rsid w:val="003E0811"/>
    <w:rsid w:val="003F24E0"/>
    <w:rsid w:val="004362B9"/>
    <w:rsid w:val="00453426"/>
    <w:rsid w:val="00485474"/>
    <w:rsid w:val="00493820"/>
    <w:rsid w:val="004A6CFF"/>
    <w:rsid w:val="0053040D"/>
    <w:rsid w:val="00557ED2"/>
    <w:rsid w:val="005D121E"/>
    <w:rsid w:val="005F3F35"/>
    <w:rsid w:val="00623A7C"/>
    <w:rsid w:val="00644F20"/>
    <w:rsid w:val="00661198"/>
    <w:rsid w:val="0068404C"/>
    <w:rsid w:val="006851FC"/>
    <w:rsid w:val="006A7B8A"/>
    <w:rsid w:val="006B2ABE"/>
    <w:rsid w:val="006D1A48"/>
    <w:rsid w:val="006D2D5C"/>
    <w:rsid w:val="006F15BB"/>
    <w:rsid w:val="00704CC3"/>
    <w:rsid w:val="00732A41"/>
    <w:rsid w:val="007365F9"/>
    <w:rsid w:val="00783652"/>
    <w:rsid w:val="007870C6"/>
    <w:rsid w:val="00810465"/>
    <w:rsid w:val="00810B75"/>
    <w:rsid w:val="008120F1"/>
    <w:rsid w:val="0081302C"/>
    <w:rsid w:val="00830ACE"/>
    <w:rsid w:val="00833CDA"/>
    <w:rsid w:val="00854B85"/>
    <w:rsid w:val="00876E74"/>
    <w:rsid w:val="00892166"/>
    <w:rsid w:val="008A679A"/>
    <w:rsid w:val="008E69EB"/>
    <w:rsid w:val="0091767E"/>
    <w:rsid w:val="009441C9"/>
    <w:rsid w:val="00952F78"/>
    <w:rsid w:val="00957D4A"/>
    <w:rsid w:val="00993895"/>
    <w:rsid w:val="009958EC"/>
    <w:rsid w:val="009D2A05"/>
    <w:rsid w:val="009E64B6"/>
    <w:rsid w:val="009F1750"/>
    <w:rsid w:val="00A01B75"/>
    <w:rsid w:val="00A121FE"/>
    <w:rsid w:val="00A22149"/>
    <w:rsid w:val="00A40104"/>
    <w:rsid w:val="00A431DB"/>
    <w:rsid w:val="00A56EC3"/>
    <w:rsid w:val="00A575D9"/>
    <w:rsid w:val="00AB4A00"/>
    <w:rsid w:val="00AD16CB"/>
    <w:rsid w:val="00B06EEF"/>
    <w:rsid w:val="00B06F1C"/>
    <w:rsid w:val="00B164D0"/>
    <w:rsid w:val="00B509AD"/>
    <w:rsid w:val="00B52C15"/>
    <w:rsid w:val="00B57A25"/>
    <w:rsid w:val="00B63FFF"/>
    <w:rsid w:val="00BA5A50"/>
    <w:rsid w:val="00BD04D2"/>
    <w:rsid w:val="00BE6A0F"/>
    <w:rsid w:val="00BF6B61"/>
    <w:rsid w:val="00C25104"/>
    <w:rsid w:val="00C44C18"/>
    <w:rsid w:val="00CB70C3"/>
    <w:rsid w:val="00CE6C5C"/>
    <w:rsid w:val="00CF1620"/>
    <w:rsid w:val="00D04BEA"/>
    <w:rsid w:val="00D11D4F"/>
    <w:rsid w:val="00D81688"/>
    <w:rsid w:val="00DE722C"/>
    <w:rsid w:val="00DF07B7"/>
    <w:rsid w:val="00E22551"/>
    <w:rsid w:val="00E31E68"/>
    <w:rsid w:val="00E63193"/>
    <w:rsid w:val="00E756DC"/>
    <w:rsid w:val="00E96A14"/>
    <w:rsid w:val="00F217C2"/>
    <w:rsid w:val="00F277DD"/>
    <w:rsid w:val="00F376ED"/>
    <w:rsid w:val="00F62FB6"/>
    <w:rsid w:val="00F634C0"/>
    <w:rsid w:val="00F74EFE"/>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04DF"/>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styleId="22">
    <w:name w:val="Body Text 2"/>
    <w:basedOn w:val="a"/>
    <w:link w:val="23"/>
    <w:uiPriority w:val="99"/>
    <w:semiHidden/>
    <w:unhideWhenUsed/>
    <w:rsid w:val="001A142D"/>
    <w:pPr>
      <w:spacing w:after="120" w:line="480" w:lineRule="auto"/>
    </w:pPr>
  </w:style>
  <w:style w:type="character" w:customStyle="1" w:styleId="23">
    <w:name w:val="Основной текст 2 Знак"/>
    <w:basedOn w:val="a0"/>
    <w:link w:val="22"/>
    <w:uiPriority w:val="99"/>
    <w:semiHidden/>
    <w:rsid w:val="001A142D"/>
    <w:rPr>
      <w:rFonts w:ascii="Times New Roman" w:eastAsia="Times New Roman" w:hAnsi="Times New Roman" w:cs="Times New Roman"/>
      <w:sz w:val="24"/>
      <w:szCs w:val="24"/>
      <w:lang w:eastAsia="ru-RU"/>
    </w:rPr>
  </w:style>
  <w:style w:type="paragraph" w:styleId="afd">
    <w:name w:val="footnote text"/>
    <w:basedOn w:val="a"/>
    <w:link w:val="afe"/>
    <w:semiHidden/>
    <w:unhideWhenUsed/>
    <w:rsid w:val="001A142D"/>
    <w:rPr>
      <w:sz w:val="20"/>
      <w:szCs w:val="20"/>
    </w:rPr>
  </w:style>
  <w:style w:type="character" w:customStyle="1" w:styleId="afe">
    <w:name w:val="Текст сноски Знак"/>
    <w:basedOn w:val="a0"/>
    <w:link w:val="afd"/>
    <w:semiHidden/>
    <w:rsid w:val="001A142D"/>
    <w:rPr>
      <w:rFonts w:ascii="Times New Roman" w:eastAsia="Times New Roman" w:hAnsi="Times New Roman" w:cs="Times New Roman"/>
      <w:sz w:val="20"/>
      <w:szCs w:val="20"/>
      <w:lang w:eastAsia="ru-RU"/>
    </w:rPr>
  </w:style>
  <w:style w:type="character" w:styleId="aff">
    <w:name w:val="footnote reference"/>
    <w:basedOn w:val="a0"/>
    <w:semiHidden/>
    <w:unhideWhenUsed/>
    <w:rsid w:val="001A142D"/>
    <w:rPr>
      <w:vertAlign w:val="superscript"/>
    </w:rPr>
  </w:style>
  <w:style w:type="table" w:customStyle="1" w:styleId="15">
    <w:name w:val="Сетка таблицы1"/>
    <w:basedOn w:val="a1"/>
    <w:next w:val="af2"/>
    <w:rsid w:val="001A14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B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0"/>
    <w:uiPriority w:val="20"/>
    <w:qFormat/>
    <w:rsid w:val="00D04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2974">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 w:id="17919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82799-5B70-4A78-98B4-1C9F76E2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20</Pages>
  <Words>8132</Words>
  <Characters>46357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51</cp:revision>
  <cp:lastPrinted>2024-04-05T08:47:00Z</cp:lastPrinted>
  <dcterms:created xsi:type="dcterms:W3CDTF">2017-07-17T06:39:00Z</dcterms:created>
  <dcterms:modified xsi:type="dcterms:W3CDTF">2024-04-05T08:55:00Z</dcterms:modified>
</cp:coreProperties>
</file>